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EinkFachwPrV — Bewerten der Prüfungsleistungen</w:t>
      </w:r>
    </w:p>
    <w:p>
      <w:r>
        <w:rPr>
          <w:color w:val="555555"/>
          <w:sz w:val="18"/>
        </w:rPr>
        <w:t xml:space="preserve">Verordnung über die Prüfung zum anerkannten Fortbildungsabschluss Geprüfter Fachwirt für Einkauf und Geprüfte Fachwirtin für Einkauf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(1) Jede Prüfungsleistung ist nach Maßgabe der Anlage 1 mit Punkten zu bewerten.</w:t>
      </w:r>
    </w:p>
    <w:p>
      <w:r>
        <w:t xml:space="preserve">(2) Im schriftlichen Prüfungsteil sind die beiden Teilleistungen nach § 3 Absatz 3 jeweils einzeln zu bewerten. Aus den beiden Teilleistungen wird als zusammengefasste Bewertung der schriftlichen Prüfung das arithmetische Mittel berechnet.</w:t>
      </w:r>
    </w:p>
    <w:p>
      <w:r>
        <w:t xml:space="preserve">(3) Im mündlichen Prüfungsteil sind als Prüfungsleistungen jeweils einzeln zu bewerten:</w:t>
      </w:r>
    </w:p>
    <w:p>
      <w:pPr>
        <w:ind w:left="420"/>
      </w:pPr>
      <w:r>
        <w:t xml:space="preserve">1. die Präsentation nach § 3 Absatz 4 bis 6,</w:t>
      </w:r>
    </w:p>
    <w:p>
      <w:pPr>
        <w:ind w:left="420"/>
      </w:pPr>
      <w:r>
        <w:t xml:space="preserve">2. das Fachgespräch nach § 3 Absatz 4 und 10.</w:t>
      </w:r>
    </w:p>
    <w:p>
      <w:r>
        <w:t xml:space="preserve">Aus den einzelnen Bewertungen des Fachgesprächs und der Präsentation wird als zusammengefasste Bewertung der mündlichen Prüfung das gewichtete arithmetische Mittel berechnet. Dabei sind die Bewertungen wie folgt zu gewichten:</w:t>
      </w:r>
    </w:p>
    <w:p>
      <w:pPr>
        <w:ind w:left="420"/>
      </w:pPr>
      <w:r>
        <w:t xml:space="preserve">1. die Bewertung des Fachgesprächs mit zwei Dritteln und</w:t>
      </w:r>
    </w:p>
    <w:p>
      <w:pPr>
        <w:ind w:left="420"/>
      </w:pPr>
      <w:r>
        <w:t xml:space="preserve">2. die Bewertung der Präsentation mit einem Drittel.</w:t>
      </w:r>
    </w:p>
    <w:p>
      <w:r>
        <w:rPr>
          <w:color w:val="555555"/>
          <w:sz w:val="17"/>
        </w:rPr>
        <w:t xml:space="preserve">Zitiervorschlag: § 6 EinkFachwPrV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https://recht.nulegal.eu/gesetze/EinkFachwPrV/6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