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EinkFachwBAProPPrV — (zu § 8) Zeugnisinhalte</w:t>
      </w:r>
    </w:p>
    <w:p>
      <w:r>
        <w:rPr>
          <w:color w:val="555555"/>
          <w:sz w:val="18"/>
        </w:rPr>
        <w:t xml:space="preserve">Einkaufsfachwirt-Bachelor Professional in Procurement-Prüfungsverordnung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(Fundstelle: BGBl. I 2020, 3069)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Benennung der Handlungsbereiche der Prüfung,</w:t>
      </w:r>
    </w:p>
    <w:p>
      <w:pPr>
        <w:ind w:left="420"/>
      </w:pPr>
      <w:r>
        <w:t xml:space="preserve">2. Bewertung der schriftlichen und der mündlichen Prüfung,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5,</w:t>
      </w:r>
    </w:p>
    <w:p>
      <w:pPr>
        <w:ind w:left="420"/>
      </w:pPr>
      <w:r>
        <w:t xml:space="preserve">7. Bescheinigung der Befreiung vom schriftlichen Teil der Prüfung nach der Ausbilder-Eignungsverordnung nach § 10.</w:t>
      </w:r>
    </w:p>
    <w:p>
      <w:r>
        <w:rPr>
          <w:color w:val="555555"/>
          <w:sz w:val="17"/>
        </w:rPr>
        <w:t xml:space="preserve">Zitiervorschlag: Anlage 2 EinkFachwBAProPPrV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https://recht.nulegal.eu/gesetze/EinkFachwBAProPPrV/anlage-2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