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EinigungsV (Bayern) — Anträge</w:t>
      </w:r>
    </w:p>
    <w:p>
      <w:r>
        <w:rPr>
          <w:color w:val="555555"/>
          <w:sz w:val="18"/>
        </w:rPr>
        <w:t xml:space="preserve">Einigungsstellenverordnung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Anträge sind schriftlich mit Begründung in fünffacher Fertigung unter Bezeichnung der Beweismittel und unter Beifügung etwa vorhandener Urkunden in Urschrift oder Abschrift und sonstiger Beweisstücke einzureichen; sie können auch zur Niederschrift der Einigungsstelle gestellt werden.</w:t>
      </w:r>
    </w:p>
    <w:p>
      <w:r>
        <w:rPr>
          <w:color w:val="555555"/>
          <w:sz w:val="17"/>
        </w:rPr>
        <w:t xml:space="preserve">Zitiervorschlag: § 4 EinigungsV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https://recht.nulegal.eu/gesetze/EinigungsV/4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EinigungsV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