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EinigVtrG — Rückkehr zum einheitlichen Verordnungsrang, Aufhebung und Änderung von Verwaltungsvorschriften</w:t>
      </w:r>
    </w:p>
    <w:p>
      <w:r>
        <w:rPr>
          <w:color w:val="555555"/>
          <w:sz w:val="18"/>
        </w:rPr>
        <w:t xml:space="preserve">Gesetz zu dem Vertrag vom 31. August 1990 zwischen der Bundesrepublik Deutschland und der Deutschen Demokratischen Republik über die Herstellung der Einheit Deutschlands - Einigungsvertragsgesetz - und der Vereinbarung vom 18. September 1990</w:t>
      </w:r>
    </w:p>
    <w:p>
      <w:r>
        <w:rPr>
          <w:color w:val="555555"/>
          <w:sz w:val="18"/>
        </w:rPr>
        <w:t xml:space="preserve">Stand: 10.06.2019 (konsolidierte Textfassung, kein amtliches Inkrafttretensdatum)</w:t>
      </w:r>
    </w:p>
    <w:p>
      <w:r>
        <w:t xml:space="preserve">(1) Die auf der Anlage I zu Artikel 8 des Vertrages beruhenden Teile der dort geänderten Rechtsverordnungen sowie die Maßgaben zu Rechtsverordnungen können auf Grund und im Rahmen der jeweils einschlägigen Ermächtigungen durch Rechtsverordnung geändert werden. Das auf Grund von Artikel 9 Abs. 2 bis 4 in Verbindung mit Anlage II zu dem Vertrag im Range einer Rechtsverordnung fortbestehende Bundesrecht sowie die Maßgaben dazu können durch Rechtsverordnung geändert oder aufgehoben werden.</w:t>
      </w:r>
    </w:p>
    <w:p>
      <w:r>
        <w:t xml:space="preserve">(2) Soweit Verwaltungsvorschriften der Deutschen Demokratischen Republik nach Artikel 9 Abs. 2 in Verbindung mit Anlage II zu dem Vertrag fortbestehen, können sie durch Verwaltungsvorschrift geändert oder aufgehoben werden.</w:t>
      </w:r>
    </w:p>
    <w:p>
      <w:r>
        <w:rPr>
          <w:color w:val="555555"/>
          <w:sz w:val="17"/>
        </w:rPr>
        <w:t xml:space="preserve">Zitiervorschlag: Art 6 EinigVtrG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EinigVtrG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