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 EinigVtr — Überleitung von Bundesrecht</w:t>
      </w:r>
    </w:p>
    <w:p>
      <w:r>
        <w:rPr>
          <w:color w:val="555555"/>
          <w:sz w:val="18"/>
        </w:rPr>
        <w:t xml:space="preserve">Einigungsvertrag</w:t>
      </w:r>
    </w:p>
    <w:p>
      <w:r>
        <w:rPr>
          <w:color w:val="555555"/>
          <w:sz w:val="18"/>
        </w:rPr>
        <w:t xml:space="preserve">Stand: 10.06.2019 (konsolidierte Textfassung, kein amtliches Inkrafttretensdatum)</w:t>
      </w:r>
    </w:p>
    <w:p>
      <w:r>
        <w:t xml:space="preserve">Mit dem Wirksamwerden des Beitritts tritt in dem in Artikel 3 genannten Gebiet Bundesrecht in Kraft, soweit es nicht in seinem Geltungsbereich auf bestimmte Länder oder Landesteile der Bundesrepublik Deutschland beschränkt ist und soweit durch diesen Vertrag, insbesondere dessen Anlage I, nichts anderes bestimmt wird.</w:t>
      </w:r>
    </w:p>
    <w:p>
      <w:r>
        <w:rPr>
          <w:color w:val="555555"/>
          <w:sz w:val="17"/>
        </w:rPr>
        <w:t xml:space="preserve">Zitiervorschlag: Art 8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