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43 EinigVtr — Übergangsvorschrift für den Bundesrat bis zur Bildung von Landesregierungen</w:t>
      </w:r>
    </w:p>
    <w:p>
      <w:r>
        <w:rPr>
          <w:color w:val="555555"/>
          <w:sz w:val="18"/>
        </w:rPr>
        <w:t xml:space="preserve">Einigungsvertrag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Von der Bildung der in Artikel 1 Abs. 1 genannten Länder bis zur Wahl des Ministerpräsidenten kann der Landesbevollmächtigte an den Sitzungen des Bundesrates mit beratender Stimme teilnehmen.</w:t>
      </w:r>
    </w:p>
    <w:p>
      <w:r>
        <w:rPr>
          <w:color w:val="555555"/>
          <w:sz w:val="17"/>
        </w:rPr>
        <w:t xml:space="preserve">Zitiervorschlag: Art 43 EinigVtr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https://recht.nulegal.eu/gesetze/EinigVtr/43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