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42 EinigVtr — Entsendung von Abgeordneten</w:t>
      </w:r>
    </w:p>
    <w:p>
      <w:r>
        <w:rPr>
          <w:color w:val="555555"/>
          <w:sz w:val="18"/>
        </w:rPr>
        <w:t xml:space="preserve">Einigungsvertrag</w:t>
      </w:r>
    </w:p>
    <w:p>
      <w:r>
        <w:rPr>
          <w:color w:val="555555"/>
          <w:sz w:val="18"/>
        </w:rPr>
        <w:t xml:space="preserve">Stand: 10.06.2019 (konsolidierte Textfassung, kein amtliches Inkrafttretensdatum)</w:t>
      </w:r>
    </w:p>
    <w:p>
      <w:r>
        <w:t xml:space="preserve">(1) Vor dem Wirksamwerden des Beitritts der Deutschen Demokratischen Republik wählt die Volkskammer auf der Grundlage ihrer Zusammensetzung 144 Abgeordnete zur Entsendung in den 11. Deutschen Bundestag sowie eine ausreichende Anzahl von Ersatzpersonen. Entsprechende Vorschläge machen die in der Volkskammer vertretenen Fraktionen und Gruppen.</w:t>
      </w:r>
    </w:p>
    <w:p>
      <w:r>
        <w:t xml:space="preserve">(2) Die Gewählten erwerben die Mitgliedschaft im 11. Deutschen Bundestag aufgrund der Annahmeerklärung gegenüber dem Präsidenten der Volkskammer, jedoch erst mit Wirksamwerden des Beitritts. Der Präsident der Volkskammer übermittelt das Ergebnis der Wahl unter Beifügung der Annahmeerklärung unverzüglich dem Präsidenten des Deutschen Bundestages.</w:t>
      </w:r>
    </w:p>
    <w:p>
      <w:r>
        <w:t xml:space="preserve">(3) Für die Wählbarkeit und den Verlust der Mitgliedschaft im 11. Deutschen Bundestag gelten im übrigen die Bestimmungen des Bundeswahlgesetzes in der Fassung der Bekanntmachung vom 1. September 1975 (BGBl. I S. 2325), zuletzt geändert durch Gesetz vom 29. August 1990 (BGBl. II S. 813). Scheidet ein Mitglied aus, so rückt die nächste Ersatzperson nach. Sie muß derselben Partei angehören wie das ausgeschiedene Mitglied zur Zeit seiner Wahl. Die Feststellung, wer als Ersatzperson nachrückt, trifft vor Wirksamwerden des Beitritts der Präsident der Volkskammer, danach der Präsident des Deutschen Bundestages.</w:t>
      </w:r>
    </w:p>
    <w:p>
      <w:r>
        <w:rPr>
          <w:color w:val="555555"/>
          <w:sz w:val="17"/>
        </w:rPr>
        <w:t xml:space="preserve">Zitiervorschlag: Art 42 EinigVtr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https://recht.nulegal.eu/gesetze/EinigVtr/42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