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35 EinigVtr — Kultur</w:t>
      </w:r>
    </w:p>
    <w:p>
      <w:r>
        <w:rPr>
          <w:color w:val="555555"/>
          <w:sz w:val="18"/>
        </w:rPr>
        <w:t xml:space="preserve">Einigungsvertrag</w:t>
      </w:r>
    </w:p>
    <w:p>
      <w:r>
        <w:rPr>
          <w:color w:val="555555"/>
          <w:sz w:val="18"/>
        </w:rPr>
        <w:t xml:space="preserve">Stand: 10.06.2019 (konsolidierte Textfassung, kein amtliches Inkrafttretensdatum)</w:t>
      </w:r>
    </w:p>
    <w:p>
      <w:r>
        <w:t xml:space="preserve">(1) In den Jahren der Teilung waren Kunst und Kultur - trotz unterschiedlicher Entwicklung der beiden Staaten in Deutschland - eine Grundlage der fortbestehenden Einheit der deutschen Nation. Sie leisten im Prozeß der staatlichen Einheit der Deutschen auf dem Weg zur europäischen Einigung einen eigenständigen und unverzichtbaren Beitrag. Stellung und Ansehen eines vereinten Deutschlands in der Welt hängen außer von seinem politischen Gewicht und seiner wirtschaftlichen Leistungskraft ebenso von seiner Bedeutung als Kulturstaat ab. Vorrangiges Ziel der Auswärtigen Kulturpolitik ist der Kulturaustausch auf der Grundlage partnerschaftlicher Zusammenarbeit.</w:t>
      </w:r>
    </w:p>
    <w:p>
      <w:r>
        <w:t xml:space="preserve">(2) Die kulturelle Substanz in dem in Artikel 3 genannten Gebiet darf keinen Schaden nehmen.</w:t>
      </w:r>
    </w:p>
    <w:p>
      <w:r>
        <w:t xml:space="preserve">(3) Die Erfüllung der kulturellen Aufgaben einschließlich ihrer Finanzierung ist zu sichern, wobei Schutz und Förderung von Kultur und Kunst den neuen Ländern und Kommunen entsprechend der Zuständigkeitsverteilung des Grundgesetzes obliegen.</w:t>
      </w:r>
    </w:p>
    <w:p>
      <w:r>
        <w:t xml:space="preserve">(4) Die bisher zentral geleiteten kulturellen Einrichtungen gehen in die Trägerschaft der Länder oder Kommunen über, in denen sie gelegen sind. Eine Mitfinanzierung durch den Bund wird in Ausnahmefällen, insbesondere im Land Berlin, nicht ausgeschlossen.</w:t>
      </w:r>
    </w:p>
    <w:p>
      <w:r>
        <w:t xml:space="preserve">(5) Die durch die Nachkriegsereignisse getrennten Teile der ehemals staatlichen preußischen Sammlungen (unter anderem Staatliche Museen, Staatsbibliotheken, Geheimes Staatsarchiv, Ibero-Amerikanisches Institut, Staatliches Institut für Musikforschung) sind in Berlin wieder zusammenzuführen. Die Stiftung Preußischer Kulturbesitz übernimmt die vorläufige Trägerschaft. Auch für die künftige Regelung ist eine umfassende Trägerschaft für die ehemals staatlichen preußischen Sammlungen in Berlin zu finden.</w:t>
      </w:r>
    </w:p>
    <w:p>
      <w:r>
        <w:t xml:space="preserve">(6) Der Kulturfonds wird zur Förderung von Kultur, Kunst und Künstlern übergangsweise bis zum 31. Dezember 1994 in dem in Artikel 3 genannten Gebiet weitergeführt. Eine Mitfinanzierung durch den Bund im Rahmen der Zuständigkeitsverteilung des Grundgesetzes wird nicht ausgeschlossen. Über eine Nachfolgeeinrichtung ist im Rahmen der Verhandlungen über den Beitritt der Länder der in Artikel 1 Abs. 1 genannten Länder zur Kulturstiftung der Länder zu verhandeln.</w:t>
      </w:r>
    </w:p>
    <w:p>
      <w:r>
        <w:t xml:space="preserve">(7) Zum Ausgleich der Auswirkungen der Teilung Deutschlands kann der Bund übergangsweise zur Förderung der kulturellen Infrastruktur einzelne kulturelle Maßnahmen und Einrichtungen in dem in Artikel 3 genannten Gebiet mitfinanzieren.</w:t>
      </w:r>
    </w:p>
    <w:p>
      <w:r>
        <w:rPr>
          <w:color w:val="555555"/>
          <w:sz w:val="17"/>
        </w:rPr>
        <w:t xml:space="preserve">Zitiervorschlag: Art 35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