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Art 34 EinigVtr — Umweltschutz</w:t>
      </w:r>
    </w:p>
    <w:p>
      <w:r>
        <w:rPr>
          <w:color w:val="555555"/>
          <w:sz w:val="18"/>
        </w:rPr>
        <w:t xml:space="preserve">Einigungsvertrag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Ausgehend von der in Artikel 16 des Vertrags vom 18. Mai 1990 in Verbindung mit dem Umweltrahmengesetz der Deutschen Demokratischen Republik vom 29. Juni 1990 (GBl. I Nr. 42 S. 649) begründeten deutschen Umweltunion ist es Aufgabe der Gesetzgeber, die natürlichen Lebensgrundlagen des Menschen unter Beachtung des Vorsorge-, Verursacher- und Kooperationsprinzips zu schützen und die Einheitlichkeit der ökologischen Lebensverhältnisse auf hohem, mindestens jedoch dem in der Bundesrepublik Deutschland erreichten Niveau zu fördern.</w:t>
      </w:r>
    </w:p>
    <w:p>
      <w:r>
        <w:t xml:space="preserve">(2) Zur Förderung des in Absatz 1 genannten Ziels sind im Rahmen der grundgesetzlichen Zuständigkeitsregelungen ökologische Sanierungs- und Entwicklungsprogramme für das in Artikel 3 genannte Gebiet aufzustellen. Vorrangig sind Maßnahmen zur Abwehr von Gefahren für die Gesundheit der Bevölkerung vorzusehen.</w:t>
      </w:r>
    </w:p>
    <w:p>
      <w:r>
        <w:rPr>
          <w:color w:val="555555"/>
          <w:sz w:val="17"/>
        </w:rPr>
        <w:t xml:space="preserve">Zitiervorschlag: Art 34 EinigVtr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https://recht.nulegal.eu/gesetze/EinigVtr/34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Art 34 EinigVtr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