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32 EinigVtr — Freie gesellschaftliche Kräfte</w:t>
      </w:r>
    </w:p>
    <w:p>
      <w:r>
        <w:rPr>
          <w:color w:val="555555"/>
          <w:sz w:val="18"/>
        </w:rPr>
        <w:t xml:space="preserve">Einigungsvertrag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Verbände der Freien Wohlfahrtspflege und die Träger der Freien Jugendhilfe leisten mit ihren Einrichtungen und Diensten einen unverzichtbaren Beitrag zur Sozialstaatlichkeit des Grundgesetzes. Der Auf- und Ausbau einer Freien Wohlfahrtspflege und einer Freien Jugendhilfe in dem in Artikel 3 genannten Gebiet wird im Rahmen der grundgesetzlichen Zuständigkeiten gefördert.</w:t>
      </w:r>
    </w:p>
    <w:p>
      <w:r>
        <w:rPr>
          <w:color w:val="555555"/>
          <w:sz w:val="17"/>
        </w:rPr>
        <w:t xml:space="preserve">Zitiervorschlag: Art 32 EinigVtr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https://recht.nulegal.eu/gesetze/EinigVtr/32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