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26 EinigVtr — Sondervermögen Deutsche Reichsbahn</w:t>
      </w:r>
    </w:p>
    <w:p>
      <w:r>
        <w:rPr>
          <w:color w:val="555555"/>
          <w:sz w:val="18"/>
        </w:rPr>
        <w:t xml:space="preserve">Einigungsvertrag</w:t>
      </w:r>
    </w:p>
    <w:p>
      <w:r>
        <w:rPr>
          <w:color w:val="555555"/>
          <w:sz w:val="18"/>
        </w:rPr>
        <w:t xml:space="preserve">Stand: 10.06.2019 (konsolidierte Textfassung, kein amtliches Inkrafttretensdatum)</w:t>
      </w:r>
    </w:p>
    <w:p>
      <w:r>
        <w:t xml:space="preserve">(1) Das Eigentum und alle sonstigen Vermögensrechte der Deutschen Demokratischen Republik sowie das Reichsvermögen in Berlin (West), die zum Sondervermögen Deutsche Reichsbahn im Sinne des Artikels 26 Abs. 2 des Vertrags vom 18. Mai 1990 gehören, sind mit Wirksamwerden des Beitritts als Sondervermögen Deutsche Reichsbahn Vermögen der Bundesrepublik Deutschland. Dazu gehören auch alle Vermögensrechte, die nach dem 8. Mai 1945 entweder mit Mitteln des Sondervermögens Deutsche Reichsbahn erworben oder die ihrem Betrieb oder dem ihrer Vorgängerverwaltungen gewidmet worden sind, ohne Rücksicht darauf, für welchen Rechtsträger sie erworben wurden, es sei denn, sie sind in der Folgezeit mit Zustimmung der Deutschen Reichsbahn einem anderen Zweck gewidmet worden. Vermögensrechte, die von der Deutschen Reichsbahn bis zum 31. Januar 1991 in entsprechender Anwendung des § 1 Abs. 4 der Verordnung über die Anmeldung vermögensrechtlicher Ansprüche vom 11. Juli 1990 (GBl. I Nr. 44 S. 718) benannt werden, gelten nicht als Vermögen, das mit Zustimmung der Deutschen Reichsbahn einem anderen Zweck gewidmet wurde.</w:t>
      </w:r>
    </w:p>
    <w:p>
      <w:r>
        <w:t xml:space="preserve">(2) Mit den Vermögensrechten gehen gleichzeitig die mit ihnen im Zusammenhang stehenden Verbindlichkeiten und Forderungen auf das Sondervermögen Deutsche Reichsbahn über.</w:t>
      </w:r>
    </w:p>
    <w:p>
      <w:r>
        <w:t xml:space="preserve">(3) Der Vorsitzer des Vorstands der Deutschen Bundesbahn und der Vorsitzer des Vorstands der Deutschen Reichsbahn sind für die Koordinierung der beiden Sondervermögen verantwortlich. Dabei haben sie auf das Ziel hinzuwirken, die beiden Bahnen technisch und organisatorisch zusammenzuführen.</w:t>
      </w:r>
    </w:p>
    <w:p>
      <w:r>
        <w:rPr>
          <w:color w:val="555555"/>
          <w:sz w:val="17"/>
        </w:rPr>
        <w:t xml:space="preserve">Zitiervorschlag: Art 26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26 EinigVtr</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