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24 EinigVtr — Abwicklung der Forderungen und Verbindlichkeiten gegenüber dem Ausland und der Bundesrepublik Deutschland</w:t>
      </w:r>
    </w:p>
    <w:p>
      <w:r>
        <w:rPr>
          <w:color w:val="555555"/>
          <w:sz w:val="18"/>
        </w:rPr>
        <w:t xml:space="preserve">Einigungsvertrag</w:t>
      </w:r>
    </w:p>
    <w:p>
      <w:r>
        <w:rPr>
          <w:color w:val="555555"/>
          <w:sz w:val="18"/>
        </w:rPr>
        <w:t xml:space="preserve">Stand: 10.06.2019 (konsolidierte Textfassung, kein amtliches Inkrafttretensdatum)</w:t>
      </w:r>
    </w:p>
    <w:p>
      <w:r>
        <w:t xml:space="preserve">(1) Die Abwicklung der beim Wirksamwerden des Beitritts noch bestehenden Forderungen und Verbindlichkeiten, soweit sie im Rahmen des Außenhandels- und Valutamonopols oder in Wahrnehmung anderer staatlicher Aufgaben der Deutschen Demokratischen Republik bis zum 1. Juli 1990 gegenüber dem Ausland und der Bundesrepublik Deutschland begründet worden sind, erfolgt auf Weisung und unter Aufsicht des Bundesministers der Finanzen. In Umschuldungsvereinbarungen der Regierung der Bundesrepublik Deutschland, die nach Wirksamwerden des Beitritts getroffen werden, sind auch die in Satz 1 genannten Forderungen einzubeziehen. Die betroffenen Forderungen werden durch den Bundesminister der Finanzen treuhänderisch verwaltet oder auf den Bund übertragen, soweit die Forderungen wertberichtigt werden.</w:t>
      </w:r>
    </w:p>
    <w:p>
      <w:r>
        <w:t xml:space="preserve">(2) Das Sondervermögen gemäß Artikel 23 Abs. 1 übernimmt bis zum 30. November 1993 gegenüber den mit der Abwicklung beauftragten Instituten die notwendigen Verwaltungsaufwendungen, die Zinskosten, die durch eine Differenz der Zinsaufwendungen und Zinserlöse entstehen, sowie die sonstigen Verluste, die den Instituten während der Abwicklungszeit entstehen, soweit sie durch eigene Mittel nicht ausgeglichen werden können. Nach dem 30. November 1993 übernehmen der Bund und die Treuhandanstalt die in Satz 1 genannten Aufwendungen, Kosten und den Verlustausgleich je zur Hälfte. Das Nähere wird durch Bundesgesetz geregelt.</w:t>
      </w:r>
    </w:p>
    <w:p>
      <w:r>
        <w:t xml:space="preserve">(3) Forderungen und Verbindlichkeiten, die auf die Mitgliedschaft der Deutschen Demokratischen Republik oder ihrer Einrichtungen im Rat für Gegenseitige Wirtschaftshilfe zurückgehen, können Gegenstand gesonderter Regelungen der Bundesrepublik Deutschland sein. Diese Regelungen können auch Forderungen und Verbindlichkeiten betreffen, die nach dem 30. Juni 1990 entstehen oder entstanden sind.</w:t>
      </w:r>
    </w:p>
    <w:p>
      <w:r>
        <w:rPr>
          <w:color w:val="555555"/>
          <w:sz w:val="17"/>
        </w:rPr>
        <w:t xml:space="preserve">Zitiervorschlag: Art 24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24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