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20 EinigVtr — Rechtsverhältnisse im öffentlichen Dienst</w:t>
      </w:r>
    </w:p>
    <w:p>
      <w:r>
        <w:rPr>
          <w:color w:val="555555"/>
          <w:sz w:val="18"/>
        </w:rPr>
        <w:t xml:space="preserve">Einigungsvertrag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Rechtsverhältnisse der Angehörigen des öffentlichen Dienstes zum Zeitpunkt des Beitritts gelten die in Anlage I vereinbarten Übergangsregelungen.</w:t>
      </w:r>
    </w:p>
    <w:p>
      <w:r>
        <w:t xml:space="preserve">(2) Die Wahrnehmung von öffentlichen Aufgaben (hoheitsrechtliche Befugnisse im Sinne von Artikel 33 Abs. 4 des Grundgesetzes) ist sobald wie möglich Beamten zu übertragen. Das Beamtenrecht wird nach Maßgabe der in Anlage I vereinbarten Regelungen eingeführt. Artikel 92 des Grundgesetzes bleibt unberührt.</w:t>
      </w:r>
    </w:p>
    <w:p>
      <w:r>
        <w:t xml:space="preserve">(3) Das Soldatenrecht wird nach Maßgabe der in Anlage I vereinbarten Regelungen eingeführt.</w:t>
      </w:r>
    </w:p>
    <w:p>
      <w:r>
        <w:rPr>
          <w:color w:val="555555"/>
          <w:sz w:val="17"/>
        </w:rPr>
        <w:t xml:space="preserve">Zitiervorschlag: Art 20 EinigVtr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https://recht.nulegal.eu/gesetze/EinigVtr/20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