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EinigVtr — Fortgeltung von Entscheidungen der öffentlichen Verwaltung</w:t>
      </w:r>
    </w:p>
    <w:p>
      <w:r>
        <w:rPr>
          <w:color w:val="555555"/>
          <w:sz w:val="18"/>
        </w:rPr>
        <w:t xml:space="preserve">Einigungsvertrag</w:t>
      </w:r>
    </w:p>
    <w:p>
      <w:r>
        <w:rPr>
          <w:color w:val="555555"/>
          <w:sz w:val="18"/>
        </w:rPr>
        <w:t xml:space="preserve">Stand: 10.06.2019 (konsolidierte Textfassung, kein amtliches Inkrafttretensdatum)</w:t>
      </w:r>
    </w:p>
    <w:p>
      <w:r>
        <w:t xml:space="preserve">Vor dem Wirksamwerden des Beitritts ergangene Verwaltungsakte der Deutschen Demokratischen Republik bleiben wirksam. Sie können aufgehoben werden, wenn sie mit rechtsstaatlichen Grundsätzen oder mit den Regelungen dieses Vertrags unvereinbar sind. Im übrigen bleiben die Vorschriften über die Bestandskraft von Verwaltungsakten unberührt.</w:t>
      </w:r>
    </w:p>
    <w:p>
      <w:r>
        <w:rPr>
          <w:color w:val="555555"/>
          <w:sz w:val="17"/>
        </w:rPr>
        <w:t xml:space="preserve">Zitiervorschlag: Art 19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