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EinigVtr — Fortgeltung gerichtlicher Entscheidungen</w:t>
      </w:r>
    </w:p>
    <w:p>
      <w:r>
        <w:rPr>
          <w:color w:val="555555"/>
          <w:sz w:val="18"/>
        </w:rPr>
        <w:t xml:space="preserve">Einigungsvertrag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Vor dem Wirksamwerden des Beitritts ergangene Entscheidungen der Gerichte der Deutschen Demokratischen Republik bleiben wirksam und können nach Maßgabe des gemäß Artikel 8 in Kraft gesetzten oder des gemäß Artikel 9 fortgeltenden Rechts vollstreckt werden. Nach diesem Recht richtet sich auch eine Überprüfung der Vereinbarkeit von Entscheidungen und ihrer Vollstreckung mit rechtsstaatlichen Grundsätzen. Artikel 17 bleibt unberührt.</w:t>
      </w:r>
    </w:p>
    <w:p>
      <w:r>
        <w:t xml:space="preserve">(2) (nicht mehr anzuwenden)</w:t>
      </w:r>
    </w:p>
    <w:p>
      <w:r>
        <w:rPr>
          <w:color w:val="555555"/>
          <w:sz w:val="17"/>
        </w:rPr>
        <w:t xml:space="preserve">Zitiervorschlag: Art 18 EinigVtr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https://recht.nulegal.eu/gesetze/EinigVtr/18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