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EinhV — Zusätzliche Verwendung nicht gesetzlicher Einheiten</w:t>
      </w:r>
    </w:p>
    <w:p>
      <w:r>
        <w:rPr>
          <w:color w:val="555555"/>
          <w:sz w:val="18"/>
        </w:rPr>
        <w:t xml:space="preserve">Einheitenverordnung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den §§ 1 und 2 des Einheiten- und Zeitgesetzes Größen in gesetzlichen Einheiten anzugeben sind, ist die zusätzliche Verwendung anderer als der gesetzlichen Einheiten nur gestattet, wenn die Angabe in der gesetzlichen Einheit hervorgehoben ist.</w:t>
      </w:r>
    </w:p>
    <w:p>
      <w:r>
        <w:rPr>
          <w:color w:val="555555"/>
          <w:sz w:val="17"/>
        </w:rPr>
        <w:t xml:space="preserve">Zitiervorschlag: § 3 EinhV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