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EinhV — Einheitennamen in Datenverarbeitungsanlagen</w:t>
      </w:r>
    </w:p>
    <w:p>
      <w:r>
        <w:rPr>
          <w:color w:val="555555"/>
          <w:sz w:val="18"/>
        </w:rPr>
        <w:t xml:space="preserve">Einheitenverordnung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Datenverarbeitungsanlagen mit beschränktem Zeichenvorrat dürfen die Einheitennamen und Vorsätze nach DIN 66 030, Ausgabe Mai 2002, dargestellt werden.</w:t>
      </w:r>
    </w:p>
    <w:p>
      <w:r>
        <w:rPr>
          <w:color w:val="555555"/>
          <w:sz w:val="17"/>
        </w:rPr>
        <w:t xml:space="preserve">Zitiervorschlag: § 2 EinhV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