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EinglUVO (Sachsen)</w:t>
      </w:r>
    </w:p>
    <w:p>
      <w:r>
        <w:rPr>
          <w:color w:val="555555"/>
          <w:sz w:val="18"/>
        </w:rPr>
        <w:t xml:space="preserve">Eingliederungshilfe-Untersuchungsverordnung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23 Absatz 2 Satz 4 des Sächsischen Gesetzes zur Ausführung des Sozialgesetzbuches vom 6. Juni 2002 (SächsGVBl. S. 168, 169), der durch Artikel 1 des Gesetzes vom 28. Juni 2018 (SächsGVBl. S. 472) eingefügt worden ist, verordnet das Staatsministerium für Soziales und Gesellschaftlichen Zusammenhalt:</w:t>
      </w:r>
    </w:p>
    <w:p>
      <w:r>
        <w:rPr>
          <w:color w:val="555555"/>
          <w:sz w:val="17"/>
        </w:rPr>
        <w:t xml:space="preserve">Zitiervorschlag: Eingangsformel EinglUVO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