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EinglMindV</w:t>
      </w:r>
    </w:p>
    <w:p>
      <w:r>
        <w:rPr>
          <w:color w:val="555555"/>
          <w:sz w:val="18"/>
        </w:rPr>
        <w:t xml:space="preserve">Mindestanforderungs-Verordnung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18 Abs. 4 in Verbindung mit § 18 Abs. 3 des Zweiten Buches Sozialgesetzbuch - Grundsicherung für Arbeitsuchende - (Artikel 1 des Gesetzes vom 24. Dezember 2003, BGBl. I S. 2954, 2955), von denen § 18 Abs. 3 durch Artikel 1 des Gesetzes vom 30. Juli 2004 (BGBl. I S. 2014) geändert worden ist, verordnet das Bundesministerium für Wirtschaft und Arbeit:</w:t>
      </w:r>
    </w:p>
    <w:p>
      <w:r>
        <w:rPr>
          <w:color w:val="555555"/>
          <w:sz w:val="17"/>
        </w:rPr>
        <w:t xml:space="preserve">Zitiervorschlag: Eingangsformel EinglMindV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https://recht.nulegal.eu/gesetze/EinglMindV/eingangsformel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