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EinglMindV — Kündigung</w:t>
      </w:r>
    </w:p>
    <w:p>
      <w:r>
        <w:rPr>
          <w:color w:val="555555"/>
          <w:sz w:val="18"/>
        </w:rPr>
        <w:t xml:space="preserve">Mindestanforderungs-Verordnung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Vereinbarung über das Erbringen von Eingliederungsleistungen muss vorsehen, dass die Vereinbarung</w:t>
      </w:r>
    </w:p>
    <w:p>
      <w:pPr>
        <w:ind w:left="420"/>
      </w:pPr>
      <w:r>
        <w:t xml:space="preserve">1. bei einer wesentlichen und voraussichtlich nachhaltigen Änderung der Verhältnisse, die im Zeitpunkt der Vereinbarung vorgelegen haben, mit einer Frist von höchstens einem Jahr und</w:t>
      </w:r>
    </w:p>
    <w:p>
      <w:pPr>
        <w:ind w:left="420"/>
      </w:pPr>
      <w:r>
        <w:t xml:space="preserve">2. aus wichtigem Grund ohne Frist</w:t>
      </w:r>
    </w:p>
    <w:p>
      <w:r>
        <w:t xml:space="preserve">gekündigt werden kann.</w:t>
      </w:r>
    </w:p>
    <w:p>
      <w:r>
        <w:rPr>
          <w:color w:val="555555"/>
          <w:sz w:val="17"/>
        </w:rPr>
        <w:t xml:space="preserve">Zitiervorschlag: § 8 EinglMindV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https://recht.nulegal.eu/gesetze/EinglMindV/8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