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EinglMindV — Befristung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Befristung darf fünf Jahre nicht übersteigen. Eine neue Vereinbarung darf nur abgeschlossen werden, wenn</w:t>
      </w:r>
    </w:p>
    <w:p>
      <w:pPr>
        <w:ind w:left="420"/>
      </w:pPr>
      <w:r>
        <w:t xml:space="preserve">1. die Prüfung nach § 5 ergeben hat, dass die Anforderungen an Wirtschaftlichkeit und Qualität erfüllt worden sind und</w:t>
      </w:r>
    </w:p>
    <w:p>
      <w:pPr>
        <w:ind w:left="420"/>
      </w:pPr>
      <w:r>
        <w:t xml:space="preserve">2. das mit der Leistung angestrebte Ziel auf dem Arbeitsmarkt, die Beschäftigung und die individuelle Beschäftigungsfähigkeit erreicht wurde; dies wird vermutet, wenn die erbrachten Eingliederungsleistungen in einem Leistungsvergleich unter Berücksichtigung regionaler Besonderheiten wenigstens durchschnittliche Ergebnisse erzielt haben.</w:t>
      </w:r>
    </w:p>
    <w:p>
      <w:r>
        <w:rPr>
          <w:color w:val="555555"/>
          <w:sz w:val="17"/>
        </w:rPr>
        <w:t xml:space="preserve">Zitiervorschlag: § 7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