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EinglMindV — Vergütungsvereinbarung</w:t>
      </w:r>
    </w:p>
    <w:p>
      <w:r>
        <w:rPr>
          <w:color w:val="555555"/>
          <w:sz w:val="18"/>
        </w:rPr>
        <w:t xml:space="preserve">Mindestanforderungs-Verordnung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Vergütungsvereinbarung muss den Grundsätzen der Wirtschaftlichkeit und Sparsamkeit entsprechen. Die Gemeinde, der Kreis oder der Bezirk haben jeweils nach längstens sechs Monaten die Kosten für die erbrachten Leistungen abzurechnen.</w:t>
      </w:r>
    </w:p>
    <w:p>
      <w:r>
        <w:rPr>
          <w:color w:val="555555"/>
          <w:sz w:val="17"/>
        </w:rPr>
        <w:t xml:space="preserve">Zitiervorschlag: § 4 EinglMindV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https://recht.nulegal.eu/gesetze/EinglMindV/4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