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EinglMV 2026</w:t>
      </w:r>
    </w:p>
    <w:p>
      <w:r>
        <w:rPr>
          <w:color w:val="555555"/>
          <w:sz w:val="18"/>
        </w:rPr>
        <w:t xml:space="preserve">Eingliederungsmittel-Verordnung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Das Bundesministerium für Arbeit und Soziales verordnet aufgrund des § 46 Absatz 2 Satz 3 des Zweiten Buches Sozialgesetzbuch – Bürgergeld, Grundsicherung für Arbeitsuchende – in der Fassung der Bekanntmachung vom 13. Mai 2011 (BGBl. I S. 850, 2094), das zuletzt durch Artikel 2 des Gesetzes vom 24. Februar 2025 (BGBl. 2025 I Nr. 57) geändert worden ist, im Einvernehmen mit dem Bundesministerium der Finanzen:</w:t>
      </w:r>
    </w:p>
    <w:p>
      <w:r>
        <w:rPr>
          <w:color w:val="555555"/>
          <w:sz w:val="17"/>
        </w:rPr>
        <w:t xml:space="preserve">Zitiervorschlag: Eingangsformel EinglMV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https://recht.nulegal.eu/gesetze/EinglMV%202026/eingangsformel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