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EinglMV 2020</w:t>
      </w:r>
    </w:p>
    <w:p>
      <w:r>
        <w:rPr>
          <w:color w:val="555555"/>
          <w:sz w:val="18"/>
        </w:rPr>
        <w:t xml:space="preserve">Eingliederungsmittel-Verordnung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Auf Grund des § 46 Absatz 2 des Zweiten Buches Sozialgesetzbuch – Grundsicherung für Arbeitsuchende –, der zuletzt durch Artikel 1 Nummer 5 des Gesetzes vom 17. Dezember 2018 (BGBl. I S. 2583)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EinglMV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