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EinglMV 2019</w:t>
      </w:r>
    </w:p>
    <w:p>
      <w:r>
        <w:rPr>
          <w:color w:val="555555"/>
          <w:sz w:val="18"/>
        </w:rPr>
        <w:t xml:space="preserve">Eingliederungsmittel-Verordnung 2019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Auf Grund des § 46 Absatz 2 des Zweiten Buches Sozialgesetzbuch – Grundsicherung für Arbeitsuchende –, der zuletzt durch Artikel 1 Nummer 42 des Gesetzes vom 26. Juli 2016 (BGBl. I S. 1824) geändert worden ist, verordnet das Bundesministerium für Arbeit und Soziales im Einvernehmen mit dem Bundesministerium der Finanzen:</w:t>
      </w:r>
    </w:p>
    <w:p>
      <w:r>
        <w:rPr>
          <w:color w:val="555555"/>
          <w:sz w:val="17"/>
        </w:rPr>
        <w:t xml:space="preserve">Zitiervorschlag: Eingangsformel EinglMV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https://recht.nulegal.eu/gesetze/EinglMV%202019/eingangsformel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