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EinglArgeVO (Sachsen) — Inkrafttreten</w:t>
      </w:r>
    </w:p>
    <w:p>
      <w:r>
        <w:rPr>
          <w:color w:val="555555"/>
          <w:sz w:val="18"/>
        </w:rPr>
        <w:t xml:space="preserve">Eingliederungshilfe-Arbeitsgemeinschaft-Verordnung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t xml:space="preserve">Dresden, den 9. Dezember 2022</w:t>
      </w:r>
    </w:p>
    <w:p>
      <w:r>
        <w:t xml:space="preserve">Der Ministerpräsident</w:t>
      </w:r>
    </w:p>
    <w:p>
      <w:r>
        <w:t xml:space="preserve">Michael Kretschmer</w:t>
      </w:r>
    </w:p>
    <w:p>
      <w:r>
        <w:t xml:space="preserve">Die Staatsministerin für Soziales und Gesellschaftlichen Zusammenhalt</w:t>
      </w:r>
    </w:p>
    <w:p>
      <w:r>
        <w:t xml:space="preserve">Petra Köpping</w:t>
      </w:r>
    </w:p>
    <w:p>
      <w:r>
        <w:rPr>
          <w:color w:val="555555"/>
          <w:sz w:val="17"/>
        </w:rPr>
        <w:t xml:space="preserve">Zitiervorschlag: § 4 EinglArgeVO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https://recht.nulegal.eu/gesetze/EinglArgeVO/4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