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EinbTestV</w:t>
      </w:r>
    </w:p>
    <w:p>
      <w:r>
        <w:rPr>
          <w:color w:val="555555"/>
          <w:sz w:val="18"/>
        </w:rPr>
        <w:t xml:space="preserve">Einbürgerungstestverordnung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7 des Staatsangehörigkeitsgesetzes, der durch Artikel 5 Nr. 7 Buchstabe c des Gesetzes vom 19. August 2007 (BGBl. I S. 1970) eingefügt worden ist, verordnet das Bundesministerium des Innern:</w:t>
      </w:r>
    </w:p>
    <w:p>
      <w:r>
        <w:rPr>
          <w:color w:val="555555"/>
          <w:sz w:val="17"/>
        </w:rPr>
        <w:t xml:space="preserve">Zitiervorschlag: Eingangsformel EinbTestV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https://recht.nulegal.eu/gesetze/EinbTestV/eingangsformel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