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EinbTestV — Einbürgerungstest und Einbürgerungskurs</w:t>
      </w:r>
    </w:p>
    <w:p>
      <w:r>
        <w:rPr>
          <w:color w:val="555555"/>
          <w:sz w:val="18"/>
        </w:rPr>
        <w:t xml:space="preserve">Einbürgerungstestverordnung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bundeseinheitliche Einbürgerungstest wird mittels Fragebögen durchgeführt, bei denen jeweils aus vier möglichen Antworten die richtige gewählt werden muss.</w:t>
      </w:r>
    </w:p>
    <w:p>
      <w:r>
        <w:t xml:space="preserve">(2) Die aus dem Fragenkatalog in Anlage 1 erstellten 100 Fragebögen enthalten 33 Fragen, darunter jeweils drei aus den Fragen, die sich auf das Bundesland beziehen, in dem der Prüfungsteilnehmer wohnt. Die Fragebögen werden nicht veröffentlicht.</w:t>
      </w:r>
    </w:p>
    <w:p>
      <w:r>
        <w:t xml:space="preserve">(3) Der Einbürgerungstest ist bestanden, wenn unter Aufsicht innerhalb von 60 Minuten mindestens 17 der 33 Fragen eines Fragebogens richtig beantwortet worden sind.</w:t>
      </w:r>
    </w:p>
    <w:p>
      <w:r>
        <w:t xml:space="preserve">(4) Über das Bestehen wird eine Bescheinigung nach einheitlichem Vordruck ausgestellt. Sie gilt bei Wohnsitzwechsel auch gegenüber der dann zuständigen Behörde fort.</w:t>
      </w:r>
    </w:p>
    <w:p>
      <w:r>
        <w:t xml:space="preserve">(5) Grundstruktur und Lerninhalte des Einbürgerungskurses ergeben sich aus dem Rahmencurriculum in Anlage 2, das für die Durchführung von Einbürgerungskursen verbindlich ist.</w:t>
      </w:r>
    </w:p>
    <w:p>
      <w:r>
        <w:rPr>
          <w:color w:val="555555"/>
          <w:sz w:val="17"/>
        </w:rPr>
        <w:t xml:space="preserve">Zitiervorschlag: § 1 EinbTestV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https://recht.nulegal.eu/gesetze/EinbTestV/1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