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EinSiG — Verjährung des Entschädigungsanspruchs; Rechtsweg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Entschädigungsanspruch gegen das Einlagensicherungssystem verjährt in fünf Jahren nach Unterrichtung des Einlegers über den Entschädigungsfall gemäß § 12.</w:t>
      </w:r>
    </w:p>
    <w:p>
      <w:r>
        <w:t xml:space="preserve">(2) Für Streitigkeiten über Grund und Höhe des Entschädigungsanspruchs ist der Zivilrechtsweg gegeben.</w:t>
      </w:r>
    </w:p>
    <w:p>
      <w:r>
        <w:rPr>
          <w:color w:val="555555"/>
          <w:sz w:val="17"/>
        </w:rPr>
        <w:t xml:space="preserve">Zitiervorschlag: § 9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