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EinSiG — Deckungssumme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Entschädigungsanspruch ist der Höhe nach begrenzt auf den Gegenwert von 100 000 Euro (Deckungssumme).</w:t>
      </w:r>
    </w:p>
    <w:p>
      <w:r>
        <w:t xml:space="preserve">(2) Abweichend von Absatz 1 beträgt die Deckungssumme den Gegenwert von bis zu 500 000 Euro, wenn und soweit</w:t>
      </w:r>
    </w:p>
    <w:p>
      <w:pPr>
        <w:ind w:left="420"/>
      </w:pPr>
      <w:r>
        <w:t xml:space="preserve">1. die Gesamtforderung des Einlegers gegen das CRR-Kreditinstitut den in Absatz 1 genannten Betrag übersteigt durch die Gutschrift folgender nicht regelmäßig ausgezahlter Beträge:</w:t>
      </w:r>
    </w:p>
    <w:p>
      <w:pPr>
        <w:ind w:left="780"/>
      </w:pPr>
      <w:r>
        <w:t xml:space="preserve">a) Beträge, die aus Immobilientransaktionen im Zusammenhang mit privat genutzten Wohnimmobilien resultieren,</w:t>
      </w:r>
    </w:p>
    <w:p>
      <w:pPr>
        <w:ind w:left="780"/>
      </w:pPr>
      <w:r>
        <w:t xml:space="preserve">b) Beträge, die soziale, gesetzlich vorgesehene Zwecke erfüllen und an bestimmte Lebensereignisse eines Einlegers geknüpft sind, wie Heirat, Scheidung, Renteneintritt, Ruhestand, Kündigung, Entlassung, Geburt, Krankheit, Pflegebedürftigkeit, Invalidität, Behinderung oder Tod,</w:t>
      </w:r>
    </w:p>
    <w:p>
      <w:pPr>
        <w:ind w:left="780"/>
      </w:pPr>
      <w:r>
        <w:t xml:space="preserve">c) Beträge, die bestimmte Zwecke erfüllen und auf der Auszahlung von Versicherungsleistungen oder Entschädigungszahlungen für aus Gewalttaten verursachte gesundheitliche Schädigungen oder für durch nicht zu Recht erlittene Strafverfolgungsmaßnahmen verursachte Schäden beruhen,</w:t>
      </w:r>
    </w:p>
    <w:p>
      <w:pPr>
        <w:ind w:left="780"/>
      </w:pPr>
      <w:r>
        <w:t xml:space="preserve">d) Beträge aus Zahlungen nach dem Recht anderer Staaten, die den in den Buchstaben a bis c genannten Leistungen und Zahlungen vergleichbar sind, und</w:t>
      </w:r>
    </w:p>
    <w:p>
      <w:pPr>
        <w:ind w:left="420"/>
      </w:pPr>
      <w:r>
        <w:t xml:space="preserve">2. der Entschädigungsfall eingetreten ist</w:t>
      </w:r>
    </w:p>
    <w:p>
      <w:pPr>
        <w:ind w:left="780"/>
      </w:pPr>
      <w:r>
        <w:t xml:space="preserve">a) in einem Zeitraum von bis zu sechs Monaten nach Gutschrift der Beträge nach Nummer 1, sofern diese Beträge ab Gutschrift auf rechtlich zulässige Weise übertragen werden können, oder</w:t>
      </w:r>
    </w:p>
    <w:p>
      <w:pPr>
        <w:ind w:left="780"/>
      </w:pPr>
      <w:r>
        <w:t xml:space="preserve">b) in einem Zeitraum ab Gutschrift der Beträge nach Nummer 1 bis zu sechs Monaten nach dem Tag, ab dem diese Beträge nach ihrer Gutschrift erstmalig auf rechtlich zulässige Weise übertragen werden können.</w:t>
      </w:r>
    </w:p>
    <w:p>
      <w:r>
        <w:t xml:space="preserve">(3) Beträge im Sinne des Absatzes 2 Nummer 1 Buchstabe b sind insbesondere:</w:t>
      </w:r>
    </w:p>
    <w:p>
      <w:pPr>
        <w:ind w:left="420"/>
      </w:pPr>
      <w:r>
        <w:t xml:space="preserve">1. Leistungen auf Grund des Sozialgesetzbuches;</w:t>
      </w:r>
    </w:p>
    <w:p>
      <w:pPr>
        <w:ind w:left="420"/>
      </w:pPr>
      <w:r>
        <w:t xml:space="preserve">2. Auszahlungen von Wertguthaben im Sinne des Vierten Buches Sozialgesetzbuch;</w:t>
      </w:r>
    </w:p>
    <w:p>
      <w:pPr>
        <w:ind w:left="420"/>
      </w:pPr>
      <w:r>
        <w:t xml:space="preserve">3. Leistungen auf Grund des Beamtenversorgungsgesetzes, der entsprechenden Regelungen der Länder, des Soldatenversorgungsgesetzes, des Gesetzes über den Auswärtigen Dienst sowie auf Grund von beamtenrechtlichen Vorschriften bezüglich Beihilfe in Krankheits-, Pflege- und Geburtsfällen;</w:t>
      </w:r>
    </w:p>
    <w:p>
      <w:pPr>
        <w:ind w:left="420"/>
      </w:pPr>
      <w:r>
        <w:t xml:space="preserve">4. Kapitalauszahlungen und Kapitalabfindungen aus betrieblicher Altersversorgung, aus nach § 10a oder Abschnitt XI des Einkommensteuergesetzes geförderter Altersvorsorge sowie von berufsständischen Versorgungswerken;</w:t>
      </w:r>
    </w:p>
    <w:p>
      <w:pPr>
        <w:ind w:left="420"/>
      </w:pPr>
      <w:r>
        <w:t xml:space="preserve">5. Leistungen auf Grund von Sozialplänen im Sinne des § 112 des Betriebsverfassungsgesetzes, des § 32 Absatz 2 Satz 2 des Sprecherausschussgesetzes, auf Grund personalvertretungsrechtlicher Vorschriften oder kirchenrechtlicher Vorschriften nach dem Mitarbeitervertretungsgesetz der Evangelischen Kirche in Deutschland und der Mitarbeitervertretungsordnungen;</w:t>
      </w:r>
    </w:p>
    <w:p>
      <w:pPr>
        <w:ind w:left="420"/>
      </w:pPr>
      <w:r>
        <w:t xml:space="preserve">6. Abfindungen auf Grund der §§ 1a, 9, 13, 14 des Kündigungsschutzgesetzes, des § 113 des Betriebsverfassungsgesetzes sowie Abfindungen für den Verlust des Arbeitsplatzes oder auf Grund eines Aufhebungsvertrages oder auf Grund von Tarifverträgen;</w:t>
      </w:r>
    </w:p>
    <w:p>
      <w:pPr>
        <w:ind w:left="420"/>
      </w:pPr>
      <w:r>
        <w:t xml:space="preserve">7. schuldrechtliche Ausgleichszahlungen zur Durchführung des Versorgungsausgleichs gemäß § 22 des Versorgungsausgleichsgesetzes;</w:t>
      </w:r>
    </w:p>
    <w:p>
      <w:pPr>
        <w:ind w:left="420"/>
      </w:pPr>
      <w:r>
        <w:t xml:space="preserve">8. Erstattungen eines Versicherungsunternehmens, die Gegenstand einer substitutiven Krankenversicherung im Sinne des § 12 des Versicherungsaufsichtsgesetzes sind;</w:t>
      </w:r>
    </w:p>
    <w:p>
      <w:pPr>
        <w:ind w:left="420"/>
      </w:pPr>
      <w:r>
        <w:t xml:space="preserve">9. Leistungen auf Grund eines Vergleichs über die von den Nummern 1 bis 8 erfassten Leistungen.</w:t>
      </w:r>
    </w:p>
    <w:p>
      <w:r>
        <w:t xml:space="preserve">(4) Beträge im Sinne des Absatzes 2 Nummer 1 Buchstabe c sind insbesondere:</w:t>
      </w:r>
    </w:p>
    <w:p>
      <w:pPr>
        <w:ind w:left="420"/>
      </w:pPr>
      <w:r>
        <w:t xml:space="preserve">1. Leistungen auf Grund von Ansprüchen nach den Vorschriften des 27. Titels des Achten Abschnitts des Zweiten Buchs des Bürgerlichen Gesetzbuchs;</w:t>
      </w:r>
    </w:p>
    <w:p>
      <w:pPr>
        <w:ind w:left="420"/>
      </w:pPr>
      <w:r>
        <w:t xml:space="preserve">2. Leistungen nach dem Gesetz über die Entschädigung für Strafverfolgungsmaßnahmen;</w:t>
      </w:r>
    </w:p>
    <w:p>
      <w:pPr>
        <w:ind w:left="420"/>
      </w:pPr>
      <w:r>
        <w:t xml:space="preserve">3. Leistungen nach dem Gesetz über die Entschädigung für Opfer von Gewalttaten;</w:t>
      </w:r>
    </w:p>
    <w:p>
      <w:pPr>
        <w:ind w:left="420"/>
      </w:pPr>
      <w:r>
        <w:t xml:space="preserve">4. Leistungen nach Artikel 5 Absatz 5 der Konvention zum Schutze der Menschenrechte und Grundfreiheiten.</w:t>
      </w:r>
    </w:p>
    <w:p>
      <w:r>
        <w:t xml:space="preserve">(5) Ein die Deckungssumme nach Absatz 1 übersteigender Rechtsanspruch auf Entschädigung gemäß § 5 in Verbindung mit Absatz 2 ist vom Einleger gesondert schriftlich unter Nachweis der anspruchsbegründenden Tatsachen glaubhaft zu machen.</w:t>
      </w:r>
    </w:p>
    <w:p>
      <w:r>
        <w:rPr>
          <w:color w:val="555555"/>
          <w:sz w:val="17"/>
        </w:rPr>
        <w:t xml:space="preserve">Zitiervorschlag: § 8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