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EinSiG — Übergangsregelung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Auf Entschädigungsfälle, die bis zum Inkrafttreten des Einlagensicherungsgesetzes vom 28. Mai 2015 (BGBl. I S. 786) festgestellt sind, sind die §§ 3 bis 5 des Einlagensicherungs- und Anlegerentschädigungsgesetzes vom 16. Juli 1998 (BGBl. I S. 1842), das zuletzt durch Artikel 6 des Gesetzes vom 15. Juli 2014 (BGBl. I S. 934) geändert worden ist, in seiner bis dahin geltenden Fassung weiter anzuwenden.</w:t>
      </w:r>
    </w:p>
    <w:p>
      <w:r>
        <w:t xml:space="preserve">(2) Bis zum erstmaligen Erreichen der in § 17 Absatz 2 genannten Beträge sind die Schwellenwerte nach § 49 Absatz 3 nicht in Bezug auf diese Beträge, sondern auf die bisher verfügbaren Finanzmittel anzuwenden.</w:t>
      </w:r>
    </w:p>
    <w:p>
      <w:r>
        <w:t xml:space="preserve">(3) § 8 des Einlagensicherungs- und Anlegerentschädigungsgesetzes vom 16. Juli 1998 (BGBl. I S. 1842), das zuletzt durch Artikel 6 des Gesetzes vom 15. Juli 2014 (BGBl. I S. 934) geändert worden ist, sowie die Bestimmungen der nach § 8 Absatz 8 Satz 1 des Einlagensicherungs- und Anlegerentschädigungsgesetzes erlassenen EdB-Beitragsverordnung vom 10. Juli 1999 (BGBl. I S. 1540), die zuletzt durch Artikel 5 der Verordnung vom 30. Januar 2014 (BGBl. I S. 322) geändert worden ist, und der EdVÖB-Beitragsverordnung vom 10. Juli 1999 (BGBl. I S. 1538), die zuletzt durch Artikel 4 der Verordnung vom 30. Januar 2014 (BGBl. I S. 322) geändert worden ist, finden weiterhin Anwendung auf die Jahresbeiträge, einmalige Zahlungen, Sonderbeiträge und Sonderzahlungen, die für die bis zum 30. September 2014 endenden Abrechnungsjahre zu erheben waren.</w:t>
      </w:r>
    </w:p>
    <w:p>
      <w:r>
        <w:t xml:space="preserve">(4) Die Jahresbeiträge für die nach § 24 Absatz 1 Nummer 1 und 2 zugeordneten CRR-Kreditinstitute werden für das am 30. September 2015 endende Abrechnungsjahr abweichend von § 19 Absatz 2 bis 4 nach § 8 des Einlagensicherungs- und Anlegerentschädigungsgesetzes vom 16. Juli 1998 (BGBl. I S. 1842), das zuletzt durch Artikel 6 des Gesetzes vom 15. Juli 2014 (BGBl. I S. 934) geändert worden ist, sowie den Bestimmungen der nach § 8 Absatz 8 Satz 1 des Einlagensicherungs- und Anlegerentschädigungsgesetzes erlassenen EdB-Beitragsverordnung vom 10. Juli 1999 (BGBl. I S. 1540), die zuletzt durch Artikel 5 der Verordnung vom 30. Januar 2014 (BGBl. I S. 322) geändert worden ist, und der EdVÖB-Beitragsverordnung vom 10. Juli 1999 (BGBl. I S. 1538), die zuletzt durch Artikel 4 der Verordnung vom 30. Januar 2014 (BGBl. I S. 322) geändert worden ist, erhoben.</w:t>
      </w:r>
    </w:p>
    <w:p>
      <w:r>
        <w:t xml:space="preserve">(5) Die Satzung eines anerkannten institutsbezogenen Sicherungssystems nach § 47 Absatz 1 kann dem Sicherungssystem gestatten, den jährlichen Beitrag für das in 2015 endende Beitragsjahr abweichend von den Vorschriften dieses Gesetzes zu erheben.</w:t>
      </w:r>
    </w:p>
    <w:p>
      <w:r>
        <w:t xml:space="preserve">(6) Institutsbezogene Sicherungssysteme, die am 29. Dezember 2020 nach § 43 als Einlagensicherungssysteme anerkannt waren, müssen bis zum 29. Dezember 2021 ihre Satzung anpassen, um im Abwicklungsfall Sonderbeiträge nach § 48 Absatz 2 Nummer 2 zur Erfüllung der Pflichten aus der Haftung nach § 145 des Sanierungs- und Abwicklungsgesetzes erheben zu können.</w:t>
      </w:r>
    </w:p>
    <w:p>
      <w:r>
        <w:rPr>
          <w:color w:val="555555"/>
          <w:sz w:val="17"/>
        </w:rPr>
        <w:t xml:space="preserve">Zitiervorschlag: § 63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