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EinSiG — Anforderungen an nicht anerkannte Systeme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vertragliche Systeme zum Schutz von Einlagen und institutsbezogene Sicherungssysteme, die nicht als Einlagensicherungssysteme anerkannt sind, sowie für die ihnen angehörenden CRR-Kreditinstitute gelten § 3 Absatz 2, § 41 Absatz 4 sowie § 23a Absatz 1 Satz 9 des Kreditwesengesetzes entsprechend. Systeme, die einer Rechtspflicht zur Entschädigung von Einlegern unterliegen, müssen über angemessene finanzielle Mittel oder entsprechende Finanzierungsmechanismen verfügen, um ihre Verpflichtungen erfüllen zu können.</w:t>
      </w:r>
    </w:p>
    <w:p>
      <w:r>
        <w:t xml:space="preserve">(2) Die Systeme nach Absatz 1 unterliegen unbeschadet der bestehenden Aufsicht anderer staatlicher Stellen hinsichtlich der Anforderungen des Absatzes 1 der Aufsicht und Prüfung durch die Bundesanstalt. § 44 Absatz 1 des Kreditwesengesetzes gilt entsprechend.</w:t>
      </w:r>
    </w:p>
    <w:p>
      <w:r>
        <w:rPr>
          <w:color w:val="555555"/>
          <w:sz w:val="17"/>
        </w:rPr>
        <w:t xml:space="preserve">Zitiervorschlag: § 61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