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EinSiG — Bußgeldvorschriften</w:t>
      </w:r>
    </w:p>
    <w:p>
      <w:r>
        <w:rPr>
          <w:color w:val="555555"/>
          <w:sz w:val="18"/>
        </w:rPr>
        <w:t xml:space="preserve">Einlagensicherungsgesetz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handelt, wer vorsätzlich oder leichtfertig entgegen § 34 Absatz 1 einen Jahresabschluss mit dem dazugehörigen Prüfungsbericht nicht, nicht richtig, nicht vollständig oder nicht rechtzeitig einreicht.</w:t>
      </w:r>
    </w:p>
    <w:p>
      <w:r>
        <w:t xml:space="preserve">(2) Ordnungswidrig handelt, wer vorsätzlich oder fahrlässig</w:t>
      </w:r>
    </w:p>
    <w:p>
      <w:pPr>
        <w:ind w:left="420"/>
      </w:pPr>
      <w:r>
        <w:t xml:space="preserve">1. entgegen § 34 Absatz 1 eine Auskunft nicht, nicht richtig, nicht vollständig oder nicht rechtzeitig erteilt oder eine Unterlage nicht, nicht richtig, nicht vollständig oder nicht rechtzeitig vorlegt oder</w:t>
      </w:r>
    </w:p>
    <w:p>
      <w:pPr>
        <w:ind w:left="420"/>
      </w:pPr>
      <w:r>
        <w:t xml:space="preserve">2. entgegen § 41 Absatz 4 eine Information nicht, nicht richtig, nicht vollständig oder nicht rechtzeitig gibt.</w:t>
      </w:r>
    </w:p>
    <w:p>
      <w:r>
        <w:t xml:space="preserve">(3) Die Ordnungswidrigkeit kann mit einer Geldbuße bis zu hunderttausend Euro geahndet werden.</w:t>
      </w:r>
    </w:p>
    <w:p>
      <w:r>
        <w:t xml:space="preserve">(4) Verwaltungsbehörde im Sinne des § 36 Absatz 1 Nummer 1 des Gesetzes über Ordnungswidrigkeiten ist die Bundesanstalt.</w:t>
      </w:r>
    </w:p>
    <w:p>
      <w:r>
        <w:rPr>
          <w:color w:val="555555"/>
          <w:sz w:val="17"/>
        </w:rPr>
        <w:t xml:space="preserve">Zitiervorschlag: § 60 EinSiG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https://recht.nulegal.eu/gesetze/EinSiG/60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