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EinSiG — Nicht entschädigungsfähige Einlagen</w:t>
      </w:r>
    </w:p>
    <w:p>
      <w:r>
        <w:rPr>
          <w:color w:val="555555"/>
          <w:sz w:val="18"/>
        </w:rPr>
        <w:t xml:space="preserve">Einlagensicherungsgesetz</w:t>
      </w:r>
    </w:p>
    <w:p>
      <w:r>
        <w:rPr>
          <w:color w:val="555555"/>
          <w:sz w:val="18"/>
        </w:rPr>
        <w:t xml:space="preserve">Stand: 29.12.2020 (konsolidierte Textfassung, kein amtliches Inkrafttretensdatum)</w:t>
      </w:r>
    </w:p>
    <w:p>
      <w:r>
        <w:t xml:space="preserve">Nicht nach § 5 werden folgende Einlagen entschädigt:</w:t>
      </w:r>
    </w:p>
    <w:p>
      <w:pPr>
        <w:ind w:left="420"/>
      </w:pPr>
      <w:r>
        <w:t xml:space="preserve">1. Einlagen, die andere CRR-Kreditinstitute im eigenen Namen und auf eigene Rechnung getätigt haben,</w:t>
      </w:r>
    </w:p>
    <w:p>
      <w:pPr>
        <w:ind w:left="420"/>
      </w:pPr>
      <w:r>
        <w:t xml:space="preserve">2. Eigenmittel im Sinne des Artikels 4 Absatz 1 Nummer 118 der Verordnung (EU) Nr. 575/2013,</w:t>
      </w:r>
    </w:p>
    <w:p>
      <w:pPr>
        <w:ind w:left="420"/>
      </w:pPr>
      <w:r>
        <w:t xml:space="preserve">3. Einlagen, die entstanden sind im Zusammenhang mit Transaktionen, auf Grund derer Personen in einem Strafverfahren wegen Geldwäsche im Sinne des Artikels 1 Absatz 2 der Richtlinie 2005/60/EG des Europäischen Parlaments und des Rates vom 26. Oktober 2005 zur Verhinderung der Nutzung des Finanzsystems zum Zwecke der Geldwäsche und der Terrorismusfinanzierung (ABl. L 309 vom 25.11.2005, S. 15) verurteilt worden sind,</w:t>
      </w:r>
    </w:p>
    <w:p>
      <w:pPr>
        <w:ind w:left="420"/>
      </w:pPr>
      <w:r>
        <w:t xml:space="preserve">4. Einlagen von Finanzinstituten im Sinne des Artikels 4 Absatz 1 Nummer 26 der Verordnung (EU) Nr. 575/2013,</w:t>
      </w:r>
    </w:p>
    <w:p>
      <w:pPr>
        <w:ind w:left="420"/>
      </w:pPr>
      <w:r>
        <w:t xml:space="preserve">5. Einlagen von Wertpapierfirmen im Sinne des Artikels 4 Absatz 1 Nummer 1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L 145 vom 30.4.2004, S. 1),</w:t>
      </w:r>
    </w:p>
    <w:p>
      <w:pPr>
        <w:ind w:left="420"/>
      </w:pPr>
      <w:r>
        <w:t xml:space="preserve">6. Einlagen, die nicht mehr verfügbar sind und bei denen die Identität ihres Inhabers niemals nach Artikel 9 Absatz 1 der Richtlinie 2005/60/EG festgestellt wurde,</w:t>
      </w:r>
    </w:p>
    <w:p>
      <w:pPr>
        <w:ind w:left="420"/>
      </w:pPr>
      <w:r>
        <w:t xml:space="preserve">7. Einlagen von Versicherungsunternehmen und von Rückversicherungsunternehmen im Sinne des Artikels 13 Nummer 1 bis 6 der Richtlinie 2009/138/EG des Europäischen Parlaments und des Rates vom 25. November 2009 betreffend die Aufnahme und Ausübung der Versicherungs- und der Rückversicherungstätigkeit (Solvabilität II) (ABl. L 335 vom 17.12.2009, S. 1),</w:t>
      </w:r>
    </w:p>
    <w:p>
      <w:pPr>
        <w:ind w:left="420"/>
      </w:pPr>
      <w:r>
        <w:t xml:space="preserve">8. Einlagen von Organismen für gemeinsame Anlagen im Sinne des Artikels 4 Absatz 1 Nummer 7 der Verordnung (EU) Nr. 575/2013,</w:t>
      </w:r>
    </w:p>
    <w:p>
      <w:pPr>
        <w:ind w:left="420"/>
      </w:pPr>
      <w:r>
        <w:t xml:space="preserve">9. Einlagen von Pensions- und Rentenfonds, insbesondere von Einrichtungen der betrieblichen Altersversorgung im Sinne des Artikels 6 Buchstabe a der Richtlinie 2003/41/EG des Europäischen Parlaments und des Rates vom 3. Juni 2003 über die Tätigkeiten und die Beaufsichtigung von Einrichtungen der betrieblichen Altersversorgung (ABl. L 235 vom 23.9.2003, S. 10),</w:t>
      </w:r>
    </w:p>
    <w:p>
      <w:pPr>
        <w:ind w:left="420"/>
      </w:pPr>
      <w:r>
        <w:t xml:space="preserve">10. Einlagen staatlicher Stellen, insbesondere staatlicher Stellen des Bundes, eines Landes, eines rechtlich unselbständigen Sondervermögens des Bundes oder eines Landes, einer kommunalen Gebietskörperschaft, eines anderen Staats oder einer Regionalregierung oder einer örtlichen Gebietskörperschaft eines anderen Staats,</w:t>
      </w:r>
    </w:p>
    <w:p>
      <w:pPr>
        <w:ind w:left="420"/>
      </w:pPr>
      <w:r>
        <w:t xml:space="preserve">11. Schuldverschreibungen eines CRR-Kreditinstituts und Verbindlichkeiten aus eigenen Akzepten und Solawechseln außer Namensschuldscheine und Namensschuldverschreibungen, die Einlagen im Sinne des § 2 Absatz 3 sind.</w:t>
      </w:r>
    </w:p>
    <w:p>
      <w:r>
        <w:rPr>
          <w:color w:val="555555"/>
          <w:sz w:val="17"/>
        </w:rPr>
        <w:t xml:space="preserve">Zitiervorschlag: § 6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