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EinSiG — Zweigstellen von CRR-Kreditinstituten mit Sitz in einem Drittland</w:t>
      </w:r>
    </w:p>
    <w:p>
      <w:r>
        <w:rPr>
          <w:color w:val="555555"/>
          <w:sz w:val="18"/>
        </w:rPr>
        <w:t xml:space="preserve">Einlagensicherungsgesetz</w:t>
      </w:r>
    </w:p>
    <w:p>
      <w:r>
        <w:rPr>
          <w:color w:val="555555"/>
          <w:sz w:val="18"/>
        </w:rPr>
        <w:t xml:space="preserve">Stand: 29.12.2020 (konsolidierte Textfassung, kein amtliches Inkrafttretensdatum)</w:t>
      </w:r>
    </w:p>
    <w:p>
      <w:r>
        <w:t xml:space="preserve">(1) Verfügen niedergelassene Zweigstellen eines CRR-Kreditinstituts, das seinen Sitz außerhalb des Europäischen Wirtschaftsraums hat, über einen Einlagenschutz, der dem in diesem Gesetz vorgesehenen Schutz gleichwertig ist, befreit die Bundesanstalt diese Zweigstelle auf Antrag von der Zuordnung nach § 24. Der Schutz ist als gleichwertig anzusehen, wenn lediglich die in § 6 genannten Einlagen von dem Schutz ausgenommen sind und die Einlagen der Einleger zumindest in einer der Deckungssumme gemäß § 8 Absatz 1 entsprechenden Höhe geschützt sind.</w:t>
      </w:r>
    </w:p>
    <w:p>
      <w:r>
        <w:t xml:space="preserve">(2) Eine Zweigstelle eines CRR-Kreditinstituts mit Sitz außerhalb des Europäischen Wirtschaftsraums, die nicht Mitglied eines Einlagensicherungssystems nach diesem Gesetz ist, stellt den Einlegern dieser Zweigstelle alle wichtigen Informationen über die Sicherungsvorkehrungen für die Einlagen zur Verfügung. Die in Satz 1 genannten Informationen müssen in der Sprache, die der Einleger und das CRR-Kreditinstitut bei Eröffnung des Kontos vereinbart haben, oder in deutscher Sprache vorliegen sowie klar und verständlich sein.</w:t>
      </w:r>
    </w:p>
    <w:p>
      <w:r>
        <w:rPr>
          <w:color w:val="555555"/>
          <w:sz w:val="17"/>
        </w:rPr>
        <w:t xml:space="preserve">Zitiervorschlag: § 59 EinSiG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https://recht.nulegal.eu/gesetze/EinSiG/59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