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EinSiG — Prüfung durch den Bundesrechnungshof</w:t>
      </w:r>
    </w:p>
    <w:p>
      <w:r>
        <w:rPr>
          <w:color w:val="555555"/>
          <w:sz w:val="18"/>
        </w:rPr>
        <w:t xml:space="preserve">Einlagensicherungsgesetz</w:t>
      </w:r>
    </w:p>
    <w:p>
      <w:r>
        <w:rPr>
          <w:color w:val="555555"/>
          <w:sz w:val="18"/>
        </w:rPr>
        <w:t xml:space="preserve">Stand: 10.06.2019 (konsolidierte Textfassung, kein amtliches Inkrafttretensdatum)</w:t>
      </w:r>
    </w:p>
    <w:p>
      <w:r>
        <w:t xml:space="preserve">(1) Der Bundesrechnungshof prüft die Haushalts- und Wirtschaftsführung der Einlagensicherungssysteme. Die §§ 89, 90, 92 bis 100 der Bundeshaushaltsordnung sind entsprechend anzuwenden. Bei anerkannten institutsbezogenen Sicherungssystemen beschränkt sich die Prüfung auf die ordnungsgemäße und wirtschaftliche Erfüllung ihrer Aufgaben hinsichtlich der Entschädigung der Einleger nach den §§ 5 bis 16 sowie der Finanzierung und Zielausstattung nach den §§ 17 bis 19.</w:t>
      </w:r>
    </w:p>
    <w:p>
      <w:r>
        <w:t xml:space="preserve">(2) Der Bundesrechnungshof ist unverzüglich zu unterrichten, wenn oberste Bundesbehörden allgemeine Vorschriften erlassen oder erläutern, welche die Einlagensicherungssysteme betreffen und sich auf den Gegenstand der Prüfung nach Absatz 1 beziehen. Der Bundesrechnungshof ist vor dem Erlass dieser Vorschriften zu hören.</w:t>
      </w:r>
    </w:p>
    <w:p>
      <w:r>
        <w:rPr>
          <w:color w:val="555555"/>
          <w:sz w:val="17"/>
        </w:rPr>
        <w:t xml:space="preserve">Zitiervorschlag: § 55 EinSiG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https://recht.nulegal.eu/gesetze/EinSiG/55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