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52 EinSiG — Prüfung der Einlagensicherungssysteme</w:t>
      </w:r>
    </w:p>
    <w:p>
      <w:r>
        <w:rPr>
          <w:color w:val="555555"/>
          <w:sz w:val="18"/>
        </w:rPr>
        <w:t xml:space="preserve">Einlagensicherungsgesetz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Einlagensicherungssysteme haben nach Ablauf eines Kalenderjahres einen Geschäftsbericht aufzustellen und der Bundesanstalt und der Deutschen Bundesbank jeweils bis zum 31. Mai einzureichen.</w:t>
      </w:r>
    </w:p>
    <w:p>
      <w:r>
        <w:t xml:space="preserve">(2) Der Geschäftsbericht muss folgende Angaben enthalten:</w:t>
      </w:r>
    </w:p>
    <w:p>
      <w:pPr>
        <w:ind w:left="420"/>
      </w:pPr>
      <w:r>
        <w:t xml:space="preserve">1. Angaben zur Tätigkeit und zu den finanziellen Verhältnissen des Einlagensicherungssystems, insbesondere zur Höhe und Anlage der verfügbaren Finanzmittel sowie zu deren Verwendung für Entschädigungsfälle,</w:t>
      </w:r>
    </w:p>
    <w:p>
      <w:pPr>
        <w:ind w:left="420"/>
      </w:pPr>
      <w:r>
        <w:t xml:space="preserve">2. Angaben zur Höhe der Beiträge,</w:t>
      </w:r>
    </w:p>
    <w:p>
      <w:pPr>
        <w:ind w:left="420"/>
      </w:pPr>
      <w:r>
        <w:t xml:space="preserve">3. Angaben zu den Kosten der Verwaltung sowie</w:t>
      </w:r>
    </w:p>
    <w:p>
      <w:pPr>
        <w:ind w:left="420"/>
      </w:pPr>
      <w:r>
        <w:t xml:space="preserve">4. eine Aktualisierung des Ansparplans gemäß § 45 Absatz 2.</w:t>
      </w:r>
    </w:p>
    <w:p>
      <w:r>
        <w:rPr>
          <w:color w:val="555555"/>
          <w:sz w:val="17"/>
        </w:rPr>
        <w:t xml:space="preserve">Zitiervorschlag: § 52 EinSiG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https://recht.nulegal.eu/gesetze/EinSiG/52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