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EinSiG — Prüfung durch die Bundesanstalt</w:t>
      </w:r>
    </w:p>
    <w:p>
      <w:r>
        <w:rPr>
          <w:color w:val="555555"/>
          <w:sz w:val="18"/>
        </w:rPr>
        <w:t xml:space="preserve">Einlagensicherungsgesetz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Erhält die Bundesanstalt von einem Einlagensicherungssystem Kenntnis von Umständen, welche die Gefahr des Eintritts eines Entschädigungsfalls bei einem dem Einlagensicherungssystem angehörenden CRR-Kreditinstitut begründen, prüft sie unverzüglich, ob aufsichtsrechtliche Maßnahmen gegenüber dem CRR-Kreditinstitut zu treffen sind.</w:t>
      </w:r>
    </w:p>
    <w:p>
      <w:r>
        <w:rPr>
          <w:color w:val="555555"/>
          <w:sz w:val="17"/>
        </w:rPr>
        <w:t xml:space="preserve">Zitiervorschlag: § 51 EinSiG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https://recht.nulegal.eu/gesetze/EinSiG/51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