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EinSiG — Rechtsanspruch auf Entschädigung</w:t>
      </w:r>
    </w:p>
    <w:p>
      <w:r>
        <w:rPr>
          <w:color w:val="555555"/>
          <w:sz w:val="18"/>
        </w:rPr>
        <w:t xml:space="preserve">Einlagensicherungsgesetz</w:t>
      </w:r>
    </w:p>
    <w:p>
      <w:r>
        <w:rPr>
          <w:color w:val="555555"/>
          <w:sz w:val="18"/>
        </w:rPr>
        <w:t xml:space="preserve">Stand: 10.06.2019 (konsolidierte Textfassung, kein amtliches Inkrafttretensdatum)</w:t>
      </w:r>
    </w:p>
    <w:p>
      <w:r>
        <w:t xml:space="preserve">(1) Der Einleger hat im Entschädigungsfall gegen das Einlagensicherungssystem, dem das CRR-Kreditinstitut angehört, einen Anspruch auf Entschädigung nach Maßgabe der §§ 6 bis 15. Darf der Einleger nicht uneingeschränkt über die Einlage verfügen, steht der Anspruch auf Entschädigung dem uneingeschränkt Nutzungsberechtigten zu, sofern dieser im Zeitpunkt des Entschädigungsfalls bekannt ist oder ermittelt werden kann.</w:t>
      </w:r>
    </w:p>
    <w:p>
      <w:r>
        <w:t xml:space="preserve">(2) Das Einlagensicherungssystem, dem das CRR-Kreditinstitut angehört, ist verpflichtet, Verbindlichkeiten aus Wertpapiergeschäften im Sinne des § 1 Absatz 3 Satz 2 des Anlegerentschädigungsgesetzes nach Maßgabe der §§ 3 bis 5 des Anlegerentschädigungsgesetzes zu entschädigen.</w:t>
      </w:r>
    </w:p>
    <w:p>
      <w:r>
        <w:t xml:space="preserve">(3) Fällt die Erlaubnis zum Betreiben des Einlagengeschäftes gemäß § 1 Absatz 1 Satz 2 Nummer 1 des Kreditwesengesetzes weg, haftet das Einlagensicherungssystem nur für Verbindlichkeiten des CRR-Kreditinstituts, die vor dem Wegfall begründet wurden.</w:t>
      </w:r>
    </w:p>
    <w:p>
      <w:r>
        <w:rPr>
          <w:color w:val="555555"/>
          <w:sz w:val="17"/>
        </w:rPr>
        <w:t xml:space="preserve">Zitiervorschlag: § 5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