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EinSiG — Stützungsmaßnahmen anerkannter institutsbezogener Sicherungssysteme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anerkanntes institutsbezogenes Sicherungssystem ist, um die Bestandsgefährdung eines ihm angehörenden CRR-Kreditinstituts zu verhindern, berechtigt, Maßnahmen zur Abwendung einer Bestandsgefährdung, insbesondere zur Sicherstellung der Liquidität und Solvenz dieses CRR-Kreditinstituts durchzuführen, sofern</w:t>
      </w:r>
    </w:p>
    <w:p>
      <w:pPr>
        <w:ind w:left="420"/>
      </w:pPr>
      <w:r>
        <w:t xml:space="preserve">1. das Sicherungssystem über geeignete Mechanismen und Verfahren für die Auswahl und Durchführung solcher Maßnahmen und für die Überwachung der damit verbundenen Risiken verfügt,</w:t>
      </w:r>
    </w:p>
    <w:p>
      <w:pPr>
        <w:ind w:left="420"/>
      </w:pPr>
      <w:r>
        <w:t xml:space="preserve">2. die Abwicklungsanstalt keine Abwicklungsmaßnahme gemäß § 62 des Sanierungs- und Abwicklungsgesetzes getroffen hat,</w:t>
      </w:r>
    </w:p>
    <w:p>
      <w:pPr>
        <w:ind w:left="420"/>
      </w:pPr>
      <w:r>
        <w:t xml:space="preserve">3. die Kosten dieser Maßnahme nicht die notwendigen Kosten zur Erfüllung der Aufgaben des institutsbezogenen Sicherungssystems übersteigen,</w:t>
      </w:r>
    </w:p>
    <w:p>
      <w:pPr>
        <w:ind w:left="420"/>
      </w:pPr>
      <w:r>
        <w:t xml:space="preserve">4. diese Maßnahme mit Auflagen gegenüber dem gestützten CRR-Kreditinstitut verbunden ist, die im Vergleich zu den bestehenden Bestimmungen mindestens eine strengere Risikoüberwachung und weitergehende Prüfungsrechte für das anerkannte institutsbezogene Sicherungssystem umfassen,</w:t>
      </w:r>
    </w:p>
    <w:p>
      <w:pPr>
        <w:ind w:left="420"/>
      </w:pPr>
      <w:r>
        <w:t xml:space="preserve">5. diese Maßnahme mit der Zusage seitens des gestützten CRR-Kreditinstituts im Hinblick auf die Gewährleistung des Zugangs des Einlegers zu gedeckten Einlagen verbunden ist und</w:t>
      </w:r>
    </w:p>
    <w:p>
      <w:pPr>
        <w:ind w:left="420"/>
      </w:pPr>
      <w:r>
        <w:t xml:space="preserve">6. die Bundesanstalt auf Grund einer Bewertung bestätigt, dass die dem institutsbezogenen Sicherungssystem angehörenden CRR-Kreditinstitute in der Lage sind, die nach Absatz 3 zu erhebenden Sonderbeiträge zu zahlen.</w:t>
      </w:r>
    </w:p>
    <w:p>
      <w:r>
        <w:t xml:space="preserve">Das Nähere regelt das System in seiner Satzung. Es setzt sich mit der Bundesanstalt über die Maßnahmen und die Auflagen für das CRR-Kreditinstitut ins Benehmen.</w:t>
      </w:r>
    </w:p>
    <w:p>
      <w:r>
        <w:t xml:space="preserve">(2) Wenn die Bundesanstalt nach Abstimmung mit der Abwicklungsbehörde feststellt, dass die Voraussetzungen für eine Abwicklungsmaßnahme gemäß § 62 des Sanierungs- und Abwicklungsgesetzes erfüllt sind, werden die in Absatz 1 genannten Maßnahmen nicht durchgeführt.</w:t>
      </w:r>
    </w:p>
    <w:p>
      <w:r>
        <w:t xml:space="preserve">(3) Verwendet das anerkannte institutsbezogene Sicherungssystem die verfügbaren Finanzmittel für Maßnahmen nach Absatz 1, hat es sicherzustellen, dass die ihm angehörenden CRR-Kreditinstitute, erforderlichenfalls durch Sonderbeiträge, die Mittel, die für die Maßnahmen verwendet wurden, unverzüglich wieder zur Verfügung stellen, falls</w:t>
      </w:r>
    </w:p>
    <w:p>
      <w:pPr>
        <w:ind w:left="420"/>
      </w:pPr>
      <w:r>
        <w:t xml:space="preserve">1. Einleger entschädigt werden müssen und die verfügbaren Finanzmittel weniger als zwei Drittel der Zielausstattung nach § 17 Absatz 2 betragen oder</w:t>
      </w:r>
    </w:p>
    <w:p>
      <w:pPr>
        <w:ind w:left="420"/>
      </w:pPr>
      <w:r>
        <w:t xml:space="preserve">2. die verfügbaren Finanzmittel 25 Prozent der Zielausstattung nach § 17 Absatz 2 unterschreiten.</w:t>
      </w:r>
    </w:p>
    <w:p>
      <w:r>
        <w:rPr>
          <w:color w:val="555555"/>
          <w:sz w:val="17"/>
        </w:rPr>
        <w:t xml:space="preserve">Zitiervorschlag: § 49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