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48 EinSiG — Beitragserhebung anerkannter institutsbezogener Sicherungssysteme</w:t>
      </w:r>
    </w:p>
    <w:p>
      <w:r>
        <w:rPr>
          <w:color w:val="555555"/>
          <w:sz w:val="18"/>
        </w:rPr>
        <w:t xml:space="preserve">Einlagensicherungsgesetz</w:t>
      </w:r>
    </w:p>
    <w:p>
      <w:r>
        <w:rPr>
          <w:color w:val="555555"/>
          <w:sz w:val="18"/>
        </w:rPr>
        <w:t xml:space="preserve">Stand: 29.12.2020 (konsolidierte Textfassung, kein amtliches Inkrafttretensdatum)</w:t>
      </w:r>
    </w:p>
    <w:p>
      <w:r>
        <w:t xml:space="preserve">(1) Die Beitragserhebung eines anerkannten institutsbezogenen Sicherungssystems wird durch seine Satzung bestimmt.</w:t>
      </w:r>
    </w:p>
    <w:p>
      <w:r>
        <w:t xml:space="preserve">(2) In der Satzung ist mindestens vorzusehen, dass</w:t>
      </w:r>
    </w:p>
    <w:p>
      <w:pPr>
        <w:ind w:left="420"/>
      </w:pPr>
      <w:r>
        <w:t xml:space="preserve">1. die zur Erreichung der Zielausstattung nach § 17 Absatz 2 notwendigen Finanzmittel mindestens einmal jährlich durch Beiträge an das Sicherungssystem aufgebracht werden;</w:t>
      </w:r>
    </w:p>
    <w:p>
      <w:pPr>
        <w:ind w:left="420"/>
      </w:pPr>
      <w:r>
        <w:t xml:space="preserve">2. Sonderbeiträge für den Fall zu erheben sind, dass die verfügbaren Finanzmittel nicht ausreichen, um im Entschädigungsfall die Einleger zu entschädigen oder im Abwicklungsfall die Pflichten aus der Haftung nach § 145 des Sanierungs- und Abwicklungsgesetzes zu erfüllen;</w:t>
      </w:r>
    </w:p>
    <w:p>
      <w:pPr>
        <w:ind w:left="420"/>
      </w:pPr>
      <w:r>
        <w:t xml:space="preserve">3. in einem Beitragsjahr mehrere Sonderbeiträge und Sonderzahlungen nur unter den Voraussetzungen des § 27 Absatz 4 Satz 2 und 3 erhoben werden dürfen;</w:t>
      </w:r>
    </w:p>
    <w:p>
      <w:pPr>
        <w:ind w:left="420"/>
      </w:pPr>
      <w:r>
        <w:t xml:space="preserve">4. die Erhebung eines Sonderbeitrags oder einer Sonderzahlung entsprechend § 27 Absatz 5 zurückgestellt werden kann, wenn die Gefahr besteht, dass ein CRR-Kreditinstitut auf Grund der Gesamtheit der an das anerkannte institutsbezogene Sicherungssystem zu leistenden Zahlungen seine Verpflichtungen gegenüber seinen Gläubigern nicht mehr erfüllen kann;</w:t>
      </w:r>
    </w:p>
    <w:p>
      <w:pPr>
        <w:ind w:left="420"/>
      </w:pPr>
      <w:r>
        <w:t xml:space="preserve">5. die dem System angehörenden CRR-Kreditinstitute verpflichtet werden, ihre Beiträge auf erstes Anfordern hin zu leisten und eine entsprechende Garantieerklärung abzugeben.</w:t>
      </w:r>
    </w:p>
    <w:p>
      <w:r>
        <w:t xml:space="preserve">(3) In der Satzung kann die Erhebung von Mindestbeiträgen von den CRR-Kreditinstituten vorgesehen werden. Das Nähere über die Bemessung und Erhebung der Jahresbeiträge und Sonderbeiträge regelt das anerkannte institutsbezogene Sicherungssystem in seiner Satzung. Werden nach § 18 Absatz 2 und 3 Zahlungsverpflichtungen eines CRR-Kreditinstituts gegenüber dem institutsbezogenen Sicherungssystem berücksichtigt, sind die Anforderungen an diese Zahlungsverpflichtungen in der Satzung zu regeln.</w:t>
      </w:r>
    </w:p>
    <w:p>
      <w:r>
        <w:t xml:space="preserve">(4) Die Bundesanstalt unterrichtet die Europäische Bankenaufsichtsbehörde über die in der Satzung enthaltenden Vorgaben zur Beitragserhebung.</w:t>
      </w:r>
    </w:p>
    <w:p>
      <w:r>
        <w:rPr>
          <w:color w:val="555555"/>
          <w:sz w:val="17"/>
        </w:rPr>
        <w:t xml:space="preserve">Zitiervorschlag: § 48 EinSiG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https://recht.nulegal.eu/gesetze/EinSiG/48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