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EinSiG — Anforderungen an die Satzung und Satzungsänderung; Ausscheiden eines CRR-Kreditinstituts aus einem anerkannten institutsbezogenen Sicherungssystem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Die Satzung eines anerkannten institutsbezogenen Sicherungssystems muss mindestens Folgendes regeln:</w:t>
      </w:r>
    </w:p>
    <w:p>
      <w:pPr>
        <w:ind w:left="420"/>
      </w:pPr>
      <w:r>
        <w:t xml:space="preserve">1. die Beitragserhebung nach Maßgabe von § 48;</w:t>
      </w:r>
    </w:p>
    <w:p>
      <w:pPr>
        <w:ind w:left="420"/>
      </w:pPr>
      <w:r>
        <w:t xml:space="preserve">2. Bedingungen zur Durchführung von Maßnahmen nach Maßgabe von § 49;</w:t>
      </w:r>
    </w:p>
    <w:p>
      <w:pPr>
        <w:ind w:left="420"/>
      </w:pPr>
      <w:r>
        <w:t xml:space="preserve">3. Prüfungs-, Informations- und Auskunftsrechte gegenüber den dem anerkannten institutsbezogenen Sicherungssystem angehörenden CRR-Kreditinstituten entsprechend den §§ 34 und 35 sowie Regelungen zu geeigneten Maßnahmen, mit denen diese Rechte durchgesetzt werden können;</w:t>
      </w:r>
    </w:p>
    <w:p>
      <w:pPr>
        <w:ind w:left="420"/>
      </w:pPr>
      <w:r>
        <w:t xml:space="preserve">4. Voraussetzung und Umfang der Weitergabe von eigenen und fremden Geheimnissen, insbesondere von Betriebs- und Geschäftsgeheimnissen des Systems und der ihm angehörenden CRR-Kreditinstitute, an die Bundesanstalt entsprechend den Regelungen für ein Einlagensicherungssystem nach diesem Gesetz oder dem Kreditwesengesetz;</w:t>
      </w:r>
    </w:p>
    <w:p>
      <w:pPr>
        <w:ind w:left="420"/>
      </w:pPr>
      <w:r>
        <w:t xml:space="preserve">5. Regelungen zur Ermächtigung des anerkannten institutsbezogenen Sicherungssystems zur Kreditaufnahme;</w:t>
      </w:r>
    </w:p>
    <w:p>
      <w:pPr>
        <w:ind w:left="420"/>
      </w:pPr>
      <w:r>
        <w:t xml:space="preserve">6. für den Fall des Widerrufs Vorschriften zu einer Übertragung des Vermögens gemäß § 46 Absatz 3 auf ein anderes von der Bundesanstalt zu benennendes Einlagensicherungssystem;</w:t>
      </w:r>
    </w:p>
    <w:p>
      <w:pPr>
        <w:ind w:left="420"/>
      </w:pPr>
      <w:r>
        <w:t xml:space="preserve">7. Regelungen zum Ausschluss von CRR-Kreditinstituten aus dem System entsprechend § 41, wobei § 41 Absatz 2 mit der Maßgabe umzusetzen ist, dass Maßnahmen gegenüber dem CRR-Kreditinstitut von dem anerkannten institutsbezogenen Sicherungssystem mit Zustimmung der Bundesanstalt vorgenommen werden.</w:t>
      </w:r>
    </w:p>
    <w:p>
      <w:r>
        <w:t xml:space="preserve">(2) Eine Änderung der Satzung eines anerkannten institutsbezogenen Sicherungssystems wird erst drei Monate nach der Anzeige gemäß § 45 Absatz 1 wirksam, wenn die Bundesanstalt nicht vorher die Unbedenklichkeit feststellt.</w:t>
      </w:r>
    </w:p>
    <w:p>
      <w:r>
        <w:t xml:space="preserve">(3) Hat ein anerkanntes institutsbezogenes Sicherungssystem ein CRR-Kreditinstitut entsprechend § 41 Absatz 2 Satz 3 mit Zustimmung der Bundesanstalt aus dem System ausgeschlossen, stellt die Bundesanstalt gegenüber dem CRR-Kreditinstitut fest, dass die Zugehörigkeit des CRR-Kreditinstituts zu einem Einlagensicherungssystem gemäß § 1 Satz 1 nicht mehr gegeben ist. Der Ausschluss durch das anerkannte institutsbezogene Sicherungssystem wird wirksam, wenn die Feststellung der Bundesanstalt nach Satz 1 sofort vollziehbar oder bestandskräftig ist.</w:t>
      </w:r>
    </w:p>
    <w:p>
      <w:r>
        <w:t xml:space="preserve">(4) Scheidet ein CRR-Kreditinstitut aus einem anerkannten institutsbezogenen Sicherungssystem aus, wird es gemäß § 24 einer gesetzlichen Entschädigungseinrichtung zugeordnet. § 25 Absatz 2 ist entsprechend anzuwenden. Die Sätze 1 und 2 gelten nicht im Falle eines nach Maßgabe des Absatzes 3 erfolgten Ausschlusses.</w:t>
      </w:r>
    </w:p>
    <w:p>
      <w:r>
        <w:rPr>
          <w:color w:val="555555"/>
          <w:sz w:val="17"/>
        </w:rPr>
        <w:t xml:space="preserve">Zitiervorschlag: § 47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