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EinSiG — Widerruf der Anerkennung; Rechtsfolgen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Liegen die Voraussetzungen für eine Anerkennung nach § 43 nicht mehr vor, kann die Anerkennung durch die Bundesanstalt widerrufen werden. Widerspruch und Anfechtungsklage gegen den Widerruf haben keine aufschiebende Wirkung.</w:t>
      </w:r>
    </w:p>
    <w:p>
      <w:r>
        <w:t xml:space="preserve">(2) Das institutsbezogene Sicherungssystem hat die bisher ihm angehörenden CRR-Kreditinstitute über den Widerruf der Anerkennung zu informieren und ihnen mitzuteilen, welcher gesetzlichen Entschädigungseinrichtung sie gemäß § 24 zugeordnet sind.</w:t>
      </w:r>
    </w:p>
    <w:p>
      <w:r>
        <w:t xml:space="preserve">(3) Nach Zugang des Widerrufs hat das institutsbezogene Sicherungssystem die verfügbaren Finanzmittel bis zu dem in § 17 Absatz 2 genannten Betrag, einschließlich der Forderungen gegen die CRR-Kreditinstitute auf Grund bestehender Zahlungsverpflichtungen nach § 18 Absatz 2, innerhalb von fünf Arbeitstagen an die von der Bundesanstalt zu benennende gesetzliche Entschädigungseinrichtung zu übertragen.</w:t>
      </w:r>
    </w:p>
    <w:p>
      <w:r>
        <w:t xml:space="preserve">(4) Sind die betroffenen CRR-Kreditinstitute verschiedenen gesetzlichen Entschädigungseinrichtungen zugeordnet, werden die verfügbaren Finanzmittel anteilig nach der Höhe der gedeckten Einlagen der betroffenen CRR-Kreditinstitute aufgeteilt. Vorübergehend gedeckte Einlagen nach § 8 Absatz 2 werden dabei nicht berücksichtigt.</w:t>
      </w:r>
    </w:p>
    <w:p>
      <w:r>
        <w:rPr>
          <w:color w:val="555555"/>
          <w:sz w:val="17"/>
        </w:rPr>
        <w:t xml:space="preserve">Zitiervorschlag: § 46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