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EinSiG — Anerkennungsantrag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Anerkennungsantrag muss insbesondere folgende Unterlagen und Angaben enthalten:</w:t>
      </w:r>
    </w:p>
    <w:p>
      <w:pPr>
        <w:ind w:left="420"/>
      </w:pPr>
      <w:r>
        <w:t xml:space="preserve">1. einen Ansparplan nach Maßgabe von Absatz 2;</w:t>
      </w:r>
    </w:p>
    <w:p>
      <w:pPr>
        <w:ind w:left="420"/>
      </w:pPr>
      <w:r>
        <w:t xml:space="preserve">2. das Statut oder die Satzung sowie die vertraglichen Grundlagen des institutsbezogenen Sicherungssystems;</w:t>
      </w:r>
    </w:p>
    <w:p>
      <w:pPr>
        <w:ind w:left="420"/>
      </w:pPr>
      <w:r>
        <w:t xml:space="preserve">3. die Namen der Personen nach § 43 Absatz 2 Nummer 1 und der Mitglieder des Kontrollorgans nach § 43 Absatz 2 Nummer 2 sowie Angaben zu den Tatsachen, die für die Beurteilung der Zuverlässigkeit und fachlichen Eignung erforderlich sind;</w:t>
      </w:r>
    </w:p>
    <w:p>
      <w:pPr>
        <w:ind w:left="420"/>
      </w:pPr>
      <w:r>
        <w:t xml:space="preserve">4. die Leitlinien und Rechtsgrundlagen für die Prüfung der dem institutsbezogenen Sicherungssystem angehörenden CRR-Kreditinstitute im Hinblick auf entschädigungsrelevante Risiken;</w:t>
      </w:r>
    </w:p>
    <w:p>
      <w:pPr>
        <w:ind w:left="420"/>
      </w:pPr>
      <w:r>
        <w:t xml:space="preserve">5. einen Organisationsplan, aus dem sich die Entscheidungsstruktur des institutsbezogenen Sicherungssystems ergibt;</w:t>
      </w:r>
    </w:p>
    <w:p>
      <w:pPr>
        <w:ind w:left="420"/>
      </w:pPr>
      <w:r>
        <w:t xml:space="preserve">6. Angaben zu den Pflichten der dem institutsbezogenen Sicherungssystem angehörenden CRR-Kreditinstitute gegenüber dem institutsbezogenen Sicherungssystem, insbesondere zu den Pflichten zur Einreichung des festgestellten Jahresabschlusses mit dem dazugehörenden Prüfungsbericht sowie den Informations- und Auskunftspflichten entsprechend § 34 Absatz 1.</w:t>
      </w:r>
    </w:p>
    <w:p>
      <w:r>
        <w:t xml:space="preserve">(2) Ein Ansparplan hat folgende Angaben zu enthalten:</w:t>
      </w:r>
    </w:p>
    <w:p>
      <w:pPr>
        <w:ind w:left="420"/>
      </w:pPr>
      <w:r>
        <w:t xml:space="preserve">1. Angaben zur aktuellen finanziellen Ausstattung des Systems und der voraussichtlichen Entwicklung der finanziellen Ausstattung;</w:t>
      </w:r>
    </w:p>
    <w:p>
      <w:pPr>
        <w:ind w:left="420"/>
      </w:pPr>
      <w:r>
        <w:t xml:space="preserve">2. Angaben zu den Einzelheiten der Erhebung von Jahres- und Sonderbeiträgen bei den dem institutsbezogenen Sicherungssystem angehörenden CRR-Kreditinstituten;</w:t>
      </w:r>
    </w:p>
    <w:p>
      <w:pPr>
        <w:ind w:left="420"/>
      </w:pPr>
      <w:r>
        <w:t xml:space="preserve">3. Angaben zur risikoorientierten Beitragserhebung nach § 19 und</w:t>
      </w:r>
    </w:p>
    <w:p>
      <w:pPr>
        <w:ind w:left="420"/>
      </w:pPr>
      <w:r>
        <w:t xml:space="preserve">4. Angaben zu den bei dem institutsbezogenen Sicherungssystem angehörenden CRR-Kreditinstituten vorhandenen gedeckten Einlagen.</w:t>
      </w:r>
    </w:p>
    <w:p>
      <w:r>
        <w:t xml:space="preserve">Der Ansparplan hat zudem Schätzungen zu enthalten, wie sich Maßnahmen nach § 49 in der Zukunft auf die Länge der Ansparphase auswirken können, und die Auswirkungen zu berücksichtigen. Soweit die Zielausstattung durch Zahlungsverpflichtungen gemäß § 18 Absatz 2 erreicht werden soll, sind Angaben zur Einhaltung der Voraussetzungen des § 18 Absatz 2 zu machen.</w:t>
      </w:r>
    </w:p>
    <w:p>
      <w:r>
        <w:rPr>
          <w:color w:val="555555"/>
          <w:sz w:val="17"/>
        </w:rPr>
        <w:t xml:space="preserve">Zitiervorschlag: § 44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