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 EinSiG — Pflicht der CRR-Kreditinstitute zur Berichterstattung über Mängelbeseitigung</w:t>
      </w:r>
    </w:p>
    <w:p>
      <w:r>
        <w:rPr>
          <w:color w:val="555555"/>
          <w:sz w:val="18"/>
        </w:rPr>
        <w:t xml:space="preserve">Einlagensicherungsgesetz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Stellt die gesetzliche Entschädigungseinrichtung im Rahmen einer Prüfung nach § 35 einen Mangel hinsichtlich der rechtlichen, organisatorischen oder wirtschaftlichen Verhältnisse einschließlich der Vermögens-, Finanz-, Ertrags- und Risikolage des CRR-Kreditinstituts fest und ist der Mangel geeignet, die Gefahr des Eintritts eines Entschädigungsfalls zu erhöhen, kann die Entschädigungseinrichtung das CRR-Kreditinstitut auffordern, ihr über die zur Beseitigung des Mangels geplanten Maßnahmen und deren Umsetzung zu berichten.</w:t>
      </w:r>
    </w:p>
    <w:p>
      <w:r>
        <w:t xml:space="preserve">(2) Die Befugnisse der gesetzlichen Entschädigungseinrichtung nach § 35 bleiben hiervon unberührt.</w:t>
      </w:r>
    </w:p>
    <w:p>
      <w:r>
        <w:rPr>
          <w:color w:val="555555"/>
          <w:sz w:val="17"/>
        </w:rPr>
        <w:t xml:space="preserve">Zitiervorschlag: § 39 EinSiG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https://recht.nulegal.eu/gesetze/EinSiG/39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