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EinSiG — Kosten der Prüfung; Kosten des Entschädigungsverfahrens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für Prüfungen nach § 35 entstehenden Kosten haben die geprüften CRR-Kreditinstitute der gesetzlichen Entschädigungseinrichtung, der sie zugeordnet sind, zu erstatten.</w:t>
      </w:r>
    </w:p>
    <w:p>
      <w:r>
        <w:t xml:space="preserve">(2) Die gesetzlichen Entschädigungseinrichtungen haben den geeigneten Dritten den für eine Prüfung nach den §§ 35 bis 37 entstehenden Personal- und Sachaufwand zu ersetzen.</w:t>
      </w:r>
    </w:p>
    <w:p>
      <w:r>
        <w:t xml:space="preserve">(3) Das CRR-Kreditinstitut hat der gesetzlichen Entschädigungseinrichtung, der es zugeordnet ist, die Aufwendungen zur Durchführung oder Vorbereitung eines Entschädigungsverfahrens nach den §§ 12 bis 15 zu ersetzen.</w:t>
      </w:r>
    </w:p>
    <w:p>
      <w:r>
        <w:rPr>
          <w:color w:val="555555"/>
          <w:sz w:val="17"/>
        </w:rPr>
        <w:t xml:space="preserve">Zitiervorschlag: § 38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