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EinSiG — Bericht über das Ergebnis der Prüfung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das Ergebnis der Prüfungen nach § 35 ist ein Bericht zu erstellen.</w:t>
      </w:r>
    </w:p>
    <w:p>
      <w:r>
        <w:t xml:space="preserve">(2) Der Bericht enthält die Feststellung, ob bei dem geprüften CRR-Kreditinstitut Umstände vorliegen, welche die Gefahr des Eintritts eines Entschädigungsfalls bei dem CRR-Kreditinstitut begründen.</w:t>
      </w:r>
    </w:p>
    <w:p>
      <w:r>
        <w:t xml:space="preserve">(3) Wurden im Rahmen der Prüfung wesentliche Verstöße des CRR-Kreditinstituts gegen dieses Gesetz, das Kreditwesengesetz oder die Verordnung (EU) Nr. 575/2013 festgestellt, enthält der Bericht auch diese Feststellungen.</w:t>
      </w:r>
    </w:p>
    <w:p>
      <w:r>
        <w:rPr>
          <w:color w:val="555555"/>
          <w:sz w:val="17"/>
        </w:rPr>
        <w:t xml:space="preserve">Zitiervorschlag: § 37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