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EinSiG — Prüfung der CRR-Kreditinstitute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Die gesetzliche Entschädigungseinrichtung hat zur Einschätzung der Gefahr des Eintritts eines Entschädigungsfalls und zur Überprüfung der Einhaltung der Pflichten nach § 7 Absatz 8 regelmäßig und bei gegebenem Anlass Prüfungen der ihr zugeordneten CRR-Kreditinstitute vorzunehmen. Sie hat die Intensität und Häufigkeit der Prüfungen an der Wahrscheinlichkeit des Eintritts eines Entschädigungsfalls bei einem CRR-Kreditinstitut und an der Höhe der in diesem Fall zu erwartenden Gesamtentschädigung auszurichten.</w:t>
      </w:r>
    </w:p>
    <w:p>
      <w:r>
        <w:t xml:space="preserve">(2) Die Entschädigungseinrichtung darf bei einem Unternehmen, das einen Erlaubnisantrag gemäß § 32 Absatz 1 Satz 5 des Kreditwesengesetzes bei der Bundesanstalt eingereicht hat und ihr bei einer Erlaubniserteilung zugeordnet wird, Prüfungen zur Einschätzung der Gefahr des Eintritts eines Entschädigungsfalls im Falle einer Erlaubniserteilung vornehmen.</w:t>
      </w:r>
    </w:p>
    <w:p>
      <w:r>
        <w:t xml:space="preserve">(3) Widerspruch und Anfechtungsklage gegen die Prüfungsanordnung haben keine aufschiebende Wirkung.</w:t>
      </w:r>
    </w:p>
    <w:p>
      <w:r>
        <w:rPr>
          <w:color w:val="555555"/>
          <w:sz w:val="17"/>
        </w:rPr>
        <w:t xml:space="preserve">Zitiervorschlag: § 35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