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EinSiG — Informationspflichten der CRR-Kreditinstitute</w:t>
      </w:r>
    </w:p>
    <w:p>
      <w:r>
        <w:rPr>
          <w:color w:val="555555"/>
          <w:sz w:val="18"/>
        </w:rPr>
        <w:t xml:space="preserve">Einlagensicherungsgesetz</w:t>
      </w:r>
    </w:p>
    <w:p>
      <w:r>
        <w:rPr>
          <w:color w:val="555555"/>
          <w:sz w:val="18"/>
        </w:rPr>
        <w:t xml:space="preserve">Stand: 10.06.2019 (konsolidierte Textfassung, kein amtliches Inkrafttretensdatum)</w:t>
      </w:r>
    </w:p>
    <w:p>
      <w:r>
        <w:t xml:space="preserve">(1) Die CRR-Kreditinstitute sind verpflichtet, der gesetzlichen Entschädigungseinrichtung, der sie zugeordnet sind, unverzüglich den festgestellten Jahresabschluss mit dem dazugehörigen Prüfungsbericht einzureichen sowie auf Verlangen alle Auskünfte zu erteilen und alle Unterlagen vorzulegen, welche die Entschädigungseinrichtung zur Wahrnehmung ihrer Aufgaben nach diesem Gesetz benötigt.</w:t>
      </w:r>
    </w:p>
    <w:p>
      <w:r>
        <w:t xml:space="preserve">(2) Die CRR-Kreditinstitute sind verpflichtet, die Entschädigungseinrichtung über jede wesentliche Änderung des Geschäftsmodells oder eine Änderung sonstiger wesentlicher Umstände zu informieren, die den Umfang der gedeckten Einlagen wesentlich erhöhen oder der Gefahr des Eintritts eines Entschädigungsfalls begründen oder erhöhen können.</w:t>
      </w:r>
    </w:p>
    <w:p>
      <w:r>
        <w:rPr>
          <w:color w:val="555555"/>
          <w:sz w:val="17"/>
        </w:rPr>
        <w:t xml:space="preserve">Zitiervorschlag: § 34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