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EinSiG — Verordnungsermächtigung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der Finanzen wird ermächtigt, durch Rechtsverordnung, die nicht der Zustimmung des Bundesrates bedarf, nähere Bestimmungen zu treffen über</w:t>
      </w:r>
    </w:p>
    <w:p>
      <w:pPr>
        <w:ind w:left="420"/>
      </w:pPr>
      <w:r>
        <w:t xml:space="preserve">1. die Methoden der Beitragsbemessung nach Maßgabe des § 19 Absatz 2 bis 4,</w:t>
      </w:r>
    </w:p>
    <w:p>
      <w:pPr>
        <w:ind w:left="420"/>
      </w:pPr>
      <w:r>
        <w:t xml:space="preserve">2. die Berechnung und Erhebung der Jahresbeiträge, einschließlich der Deckung der Verwaltungskosten und sonstigen Kosten und der Erhebung von Mindestbeiträgen nach Maßgabe des § 26 Absatz 1 Satz 3 und 4, der einmaligen Zahlungen, der Sonderbeiträge und der Sonderzahlungen,</w:t>
      </w:r>
    </w:p>
    <w:p>
      <w:pPr>
        <w:ind w:left="420"/>
      </w:pPr>
      <w:r>
        <w:t xml:space="preserve">3. die Erhebung von Verzugszinsen für verspätet geleistete Beiträge,</w:t>
      </w:r>
    </w:p>
    <w:p>
      <w:pPr>
        <w:ind w:left="420"/>
      </w:pPr>
      <w:r>
        <w:t xml:space="preserve">4. die Modalitäten der Kreditaufnahme,</w:t>
      </w:r>
    </w:p>
    <w:p>
      <w:pPr>
        <w:ind w:left="420"/>
      </w:pPr>
      <w:r>
        <w:t xml:space="preserve">5. die Anforderungen an die Anlage der verfügbaren Finanzmittel,</w:t>
      </w:r>
    </w:p>
    <w:p>
      <w:pPr>
        <w:ind w:left="420"/>
      </w:pPr>
      <w:r>
        <w:t xml:space="preserve">6. die Voraussetzungen für die Berücksichtigung von Zahlungsverpflichtungen nach § 18 Absatz 2 und 3 als verfügbare Finanzmittel.</w:t>
      </w:r>
    </w:p>
    <w:p>
      <w:r>
        <w:t xml:space="preserve">Vor Erlass der Rechtsverordnung sind die gesetzlichen Entschädigungseinrichtungen zu hören.</w:t>
      </w:r>
    </w:p>
    <w:p>
      <w:r>
        <w:t xml:space="preserve">(2) Die Europäische Bankenaufsichtsbehörde wird über den Inhalt der Rechtsverordnung unterrichtet.</w:t>
      </w:r>
    </w:p>
    <w:p>
      <w:r>
        <w:t xml:space="preserve">(3) Das Bundesministerium der Finanzen kann die Ermächtigung durch Rechtsverordnung auf die Bundesanstalt übertragen.</w:t>
      </w:r>
    </w:p>
    <w:p>
      <w:r>
        <w:rPr>
          <w:color w:val="555555"/>
          <w:sz w:val="17"/>
        </w:rPr>
        <w:t xml:space="preserve">Zitiervorschlag: § 33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